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85708" w14:textId="77777777" w:rsidR="00E86431" w:rsidRPr="003D2718" w:rsidRDefault="00E86431" w:rsidP="00B87A31">
      <w:pPr>
        <w:pStyle w:val="CoverDesc"/>
        <w:tabs>
          <w:tab w:val="center" w:pos="4514"/>
          <w:tab w:val="left" w:pos="7890"/>
        </w:tabs>
        <w:spacing w:line="360" w:lineRule="auto"/>
        <w:rPr>
          <w:rFonts w:ascii="Maiandra GD" w:hAnsi="Maiandra GD"/>
          <w:sz w:val="24"/>
          <w:szCs w:val="24"/>
        </w:rPr>
      </w:pPr>
      <w:bookmarkStart w:id="0" w:name="_GoBack"/>
      <w:bookmarkEnd w:id="0"/>
    </w:p>
    <w:p w14:paraId="74835DAA" w14:textId="77777777" w:rsidR="00D32964" w:rsidRDefault="00E86431" w:rsidP="00B87A31">
      <w:pPr>
        <w:pStyle w:val="CoverDesc"/>
        <w:tabs>
          <w:tab w:val="center" w:pos="4514"/>
          <w:tab w:val="left" w:pos="7890"/>
        </w:tabs>
        <w:spacing w:line="360" w:lineRule="auto"/>
        <w:jc w:val="left"/>
        <w:rPr>
          <w:rFonts w:ascii="Maiandra GD" w:hAnsi="Maiandra GD"/>
          <w:sz w:val="28"/>
          <w:szCs w:val="28"/>
        </w:rPr>
      </w:pPr>
      <w:r w:rsidRPr="003D2718">
        <w:rPr>
          <w:rFonts w:ascii="Maiandra GD" w:hAnsi="Maiandra GD"/>
          <w:sz w:val="24"/>
          <w:szCs w:val="24"/>
        </w:rPr>
        <w:tab/>
      </w:r>
      <w:r w:rsidR="005F3519" w:rsidRPr="00515B4B">
        <w:rPr>
          <w:rFonts w:ascii="Maiandra GD" w:hAnsi="Maiandra GD"/>
          <w:sz w:val="28"/>
          <w:szCs w:val="28"/>
        </w:rPr>
        <w:t xml:space="preserve">BARONESS </w:t>
      </w:r>
      <w:r w:rsidR="005F0676" w:rsidRPr="00515B4B">
        <w:rPr>
          <w:rFonts w:ascii="Maiandra GD" w:hAnsi="Maiandra GD"/>
          <w:sz w:val="28"/>
          <w:szCs w:val="28"/>
        </w:rPr>
        <w:t xml:space="preserve">BUTLER-SLOSS </w:t>
      </w:r>
      <w:r w:rsidR="0053724E" w:rsidRPr="00515B4B">
        <w:rPr>
          <w:rFonts w:ascii="Maiandra GD" w:hAnsi="Maiandra GD"/>
          <w:sz w:val="28"/>
          <w:szCs w:val="28"/>
        </w:rPr>
        <w:t xml:space="preserve">FAMILY LAW </w:t>
      </w:r>
      <w:r w:rsidR="005F0676" w:rsidRPr="00515B4B">
        <w:rPr>
          <w:rFonts w:ascii="Maiandra GD" w:hAnsi="Maiandra GD"/>
          <w:sz w:val="28"/>
          <w:szCs w:val="28"/>
        </w:rPr>
        <w:t>LECTURE 2019</w:t>
      </w:r>
    </w:p>
    <w:p w14:paraId="6A3FB288" w14:textId="5A813323" w:rsidR="005E2342" w:rsidRPr="00515B4B" w:rsidRDefault="00D32964" w:rsidP="00D32964">
      <w:pPr>
        <w:pStyle w:val="CoverDesc"/>
        <w:tabs>
          <w:tab w:val="center" w:pos="4514"/>
          <w:tab w:val="left" w:pos="7890"/>
        </w:tabs>
        <w:spacing w:line="360" w:lineRule="auto"/>
        <w:rPr>
          <w:rFonts w:ascii="Maiandra GD" w:hAnsi="Maiandra GD"/>
          <w:sz w:val="28"/>
          <w:szCs w:val="28"/>
        </w:rPr>
      </w:pPr>
      <w:r>
        <w:rPr>
          <w:rFonts w:ascii="Maiandra GD" w:hAnsi="Maiandra GD"/>
          <w:sz w:val="28"/>
          <w:szCs w:val="28"/>
        </w:rPr>
        <w:t>University of Exeter</w:t>
      </w:r>
    </w:p>
    <w:p w14:paraId="2AC3D519" w14:textId="5F941481" w:rsidR="00E86431" w:rsidRPr="00515B4B" w:rsidRDefault="00E86431" w:rsidP="00B87A31">
      <w:pPr>
        <w:pStyle w:val="CoverDesc"/>
        <w:tabs>
          <w:tab w:val="center" w:pos="4514"/>
          <w:tab w:val="left" w:pos="7890"/>
        </w:tabs>
        <w:spacing w:line="360" w:lineRule="auto"/>
        <w:rPr>
          <w:rFonts w:ascii="Maiandra GD" w:hAnsi="Maiandra GD"/>
          <w:sz w:val="28"/>
          <w:szCs w:val="28"/>
        </w:rPr>
      </w:pPr>
    </w:p>
    <w:p w14:paraId="4EE3862F" w14:textId="35D03F0F" w:rsidR="00515B4B" w:rsidRPr="00515B4B" w:rsidRDefault="00515B4B" w:rsidP="00B87A31">
      <w:pPr>
        <w:pStyle w:val="CoverDesc"/>
        <w:tabs>
          <w:tab w:val="center" w:pos="4514"/>
          <w:tab w:val="left" w:pos="7890"/>
        </w:tabs>
        <w:spacing w:line="360" w:lineRule="auto"/>
        <w:rPr>
          <w:rFonts w:ascii="Maiandra GD" w:hAnsi="Maiandra GD"/>
          <w:sz w:val="28"/>
          <w:szCs w:val="28"/>
        </w:rPr>
      </w:pPr>
      <w:r w:rsidRPr="00515B4B">
        <w:rPr>
          <w:rFonts w:ascii="Maiandra GD" w:hAnsi="Maiandra GD"/>
          <w:sz w:val="28"/>
          <w:szCs w:val="28"/>
        </w:rPr>
        <w:t>“If only we had known then what we know now”</w:t>
      </w:r>
    </w:p>
    <w:p w14:paraId="70D43370" w14:textId="77777777" w:rsidR="005F3519" w:rsidRPr="003D2718" w:rsidRDefault="005F3519" w:rsidP="00B87A31">
      <w:pPr>
        <w:pStyle w:val="CoverDesc"/>
        <w:tabs>
          <w:tab w:val="center" w:pos="4514"/>
          <w:tab w:val="left" w:pos="7890"/>
        </w:tabs>
        <w:spacing w:line="360" w:lineRule="auto"/>
        <w:rPr>
          <w:rFonts w:ascii="Maiandra GD" w:hAnsi="Maiandra GD"/>
          <w:sz w:val="24"/>
          <w:szCs w:val="24"/>
        </w:rPr>
      </w:pPr>
    </w:p>
    <w:p w14:paraId="35D2D788" w14:textId="3E80DD4D" w:rsidR="00E86431" w:rsidRPr="003D2718" w:rsidRDefault="00E86431" w:rsidP="00B87A31">
      <w:pPr>
        <w:pStyle w:val="CoverDesc"/>
        <w:tabs>
          <w:tab w:val="center" w:pos="4514"/>
          <w:tab w:val="left" w:pos="7890"/>
        </w:tabs>
        <w:spacing w:line="360" w:lineRule="auto"/>
        <w:rPr>
          <w:rFonts w:ascii="Maiandra GD" w:hAnsi="Maiandra GD"/>
          <w:sz w:val="24"/>
          <w:szCs w:val="24"/>
        </w:rPr>
      </w:pPr>
      <w:r w:rsidRPr="003D2718">
        <w:rPr>
          <w:rFonts w:ascii="Maiandra GD" w:hAnsi="Maiandra GD"/>
          <w:sz w:val="24"/>
          <w:szCs w:val="24"/>
        </w:rPr>
        <w:t>Sir Andrew McFarlane, President of the Family Division</w:t>
      </w:r>
    </w:p>
    <w:p w14:paraId="74A33FC4" w14:textId="77777777" w:rsidR="005E2342" w:rsidRPr="003D2718" w:rsidRDefault="005E2342" w:rsidP="00B87A31">
      <w:pPr>
        <w:pStyle w:val="CoverDesc"/>
        <w:spacing w:line="360" w:lineRule="auto"/>
        <w:rPr>
          <w:rFonts w:ascii="Maiandra GD" w:hAnsi="Maiandra GD"/>
          <w:sz w:val="24"/>
          <w:szCs w:val="24"/>
        </w:rPr>
      </w:pPr>
    </w:p>
    <w:p w14:paraId="35D2275B" w14:textId="77777777" w:rsidR="005E2342" w:rsidRPr="003D2718" w:rsidRDefault="005E2342" w:rsidP="00B87A31">
      <w:pPr>
        <w:spacing w:line="360" w:lineRule="auto"/>
        <w:rPr>
          <w:rFonts w:ascii="Maiandra GD" w:hAnsi="Maiandra GD"/>
        </w:rPr>
        <w:sectPr w:rsidR="005E2342" w:rsidRPr="003D2718">
          <w:footerReference w:type="default" r:id="rId11"/>
          <w:pgSz w:w="11909" w:h="16834" w:code="9"/>
          <w:pgMar w:top="720" w:right="1440" w:bottom="720" w:left="1440" w:header="720" w:footer="720" w:gutter="0"/>
          <w:pgNumType w:start="1"/>
          <w:cols w:space="720"/>
        </w:sectPr>
      </w:pPr>
    </w:p>
    <w:p w14:paraId="4F75D9CF" w14:textId="77777777" w:rsidR="00120331" w:rsidRPr="003D2718" w:rsidRDefault="00120331" w:rsidP="00B87A31">
      <w:pPr>
        <w:spacing w:line="360" w:lineRule="auto"/>
        <w:jc w:val="both"/>
        <w:rPr>
          <w:rFonts w:ascii="Maiandra GD" w:eastAsiaTheme="minorHAnsi" w:hAnsi="Maiandra GD" w:cstheme="minorBidi"/>
        </w:rPr>
      </w:pPr>
    </w:p>
    <w:p w14:paraId="2CC72F46" w14:textId="49815E80" w:rsidR="00195E61" w:rsidRDefault="003D5849" w:rsidP="00B87A31">
      <w:pPr>
        <w:spacing w:line="360" w:lineRule="auto"/>
        <w:jc w:val="both"/>
        <w:rPr>
          <w:rFonts w:ascii="Maiandra GD" w:eastAsiaTheme="minorHAnsi" w:hAnsi="Maiandra GD" w:cstheme="minorBidi"/>
        </w:rPr>
      </w:pPr>
      <w:r>
        <w:rPr>
          <w:rFonts w:ascii="Maiandra GD" w:eastAsiaTheme="minorHAnsi" w:hAnsi="Maiandra GD" w:cstheme="minorBidi"/>
        </w:rPr>
        <w:t>It is a great honour and a real pleasure to have been invited</w:t>
      </w:r>
      <w:r w:rsidR="00FF3679">
        <w:rPr>
          <w:rFonts w:ascii="Maiandra GD" w:eastAsiaTheme="minorHAnsi" w:hAnsi="Maiandra GD" w:cstheme="minorBidi"/>
        </w:rPr>
        <w:t xml:space="preserve"> by the University of Exeter</w:t>
      </w:r>
      <w:r>
        <w:rPr>
          <w:rFonts w:ascii="Maiandra GD" w:eastAsiaTheme="minorHAnsi" w:hAnsi="Maiandra GD" w:cstheme="minorBidi"/>
        </w:rPr>
        <w:t xml:space="preserve"> to give this, the inaugural Baroness Butler-Sloss Family Law Lecture</w:t>
      </w:r>
      <w:r w:rsidR="00FF3679">
        <w:rPr>
          <w:rFonts w:ascii="Maiandra GD" w:eastAsiaTheme="minorHAnsi" w:hAnsi="Maiandra GD" w:cstheme="minorBidi"/>
        </w:rPr>
        <w:t xml:space="preserve">. </w:t>
      </w:r>
      <w:r w:rsidR="002757E6">
        <w:rPr>
          <w:rFonts w:ascii="Maiandra GD" w:eastAsiaTheme="minorHAnsi" w:hAnsi="Maiandra GD" w:cstheme="minorBidi"/>
        </w:rPr>
        <w:t>The pleasure is, I must admit, mixed with a certain degree of apprehension as I stand here and regard the Noble Baroness seated in her place of honour on the front row, fixing me with a</w:t>
      </w:r>
      <w:r w:rsidR="00515B4B">
        <w:rPr>
          <w:rFonts w:ascii="Maiandra GD" w:eastAsiaTheme="minorHAnsi" w:hAnsi="Maiandra GD" w:cstheme="minorBidi"/>
        </w:rPr>
        <w:t xml:space="preserve"> kindly but</w:t>
      </w:r>
      <w:r w:rsidR="002757E6">
        <w:rPr>
          <w:rFonts w:ascii="Maiandra GD" w:eastAsiaTheme="minorHAnsi" w:hAnsi="Maiandra GD" w:cstheme="minorBidi"/>
        </w:rPr>
        <w:t xml:space="preserve"> beady stare that I know only too well! </w:t>
      </w:r>
      <w:r w:rsidR="00927465">
        <w:rPr>
          <w:rFonts w:ascii="Maiandra GD" w:eastAsiaTheme="minorHAnsi" w:hAnsi="Maiandra GD" w:cstheme="minorBidi"/>
        </w:rPr>
        <w:t xml:space="preserve">It is a position that I have found myself in on very many occasions starting, I believe, in the High Court in </w:t>
      </w:r>
      <w:r w:rsidR="00074626">
        <w:rPr>
          <w:rFonts w:ascii="Maiandra GD" w:eastAsiaTheme="minorHAnsi" w:hAnsi="Maiandra GD" w:cstheme="minorBidi"/>
        </w:rPr>
        <w:t>Middlesbrough</w:t>
      </w:r>
      <w:r w:rsidR="00927465">
        <w:rPr>
          <w:rFonts w:ascii="Maiandra GD" w:eastAsiaTheme="minorHAnsi" w:hAnsi="Maiandra GD" w:cstheme="minorBidi"/>
        </w:rPr>
        <w:t xml:space="preserve"> </w:t>
      </w:r>
      <w:r w:rsidR="00074626">
        <w:rPr>
          <w:rFonts w:ascii="Maiandra GD" w:eastAsiaTheme="minorHAnsi" w:hAnsi="Maiandra GD" w:cstheme="minorBidi"/>
        </w:rPr>
        <w:t xml:space="preserve">as long ago as 1987 and continuing down the years through many court appearances and, more recently, appearing as a witness before a Parliamentary </w:t>
      </w:r>
      <w:r w:rsidR="0027504D">
        <w:rPr>
          <w:rFonts w:ascii="Maiandra GD" w:eastAsiaTheme="minorHAnsi" w:hAnsi="Maiandra GD" w:cstheme="minorBidi"/>
        </w:rPr>
        <w:t xml:space="preserve">pre-legislative scrutiny committee </w:t>
      </w:r>
      <w:r w:rsidR="00195E61">
        <w:rPr>
          <w:rFonts w:ascii="Maiandra GD" w:eastAsiaTheme="minorHAnsi" w:hAnsi="Maiandra GD" w:cstheme="minorBidi"/>
        </w:rPr>
        <w:t>that she chaired a few years ago</w:t>
      </w:r>
      <w:r w:rsidR="0099088B">
        <w:rPr>
          <w:rFonts w:ascii="Maiandra GD" w:eastAsiaTheme="minorHAnsi" w:hAnsi="Maiandra GD" w:cstheme="minorBidi"/>
        </w:rPr>
        <w:t xml:space="preserve">. </w:t>
      </w:r>
    </w:p>
    <w:p w14:paraId="2CA1B822" w14:textId="77777777" w:rsidR="00195E61" w:rsidRDefault="00195E61" w:rsidP="00B87A31">
      <w:pPr>
        <w:spacing w:line="360" w:lineRule="auto"/>
        <w:jc w:val="both"/>
        <w:rPr>
          <w:rFonts w:ascii="Maiandra GD" w:eastAsiaTheme="minorHAnsi" w:hAnsi="Maiandra GD" w:cstheme="minorBidi"/>
        </w:rPr>
      </w:pPr>
    </w:p>
    <w:p w14:paraId="56BDA212" w14:textId="6680D192" w:rsidR="00120331" w:rsidRDefault="0099088B" w:rsidP="00B87A31">
      <w:pPr>
        <w:spacing w:line="360" w:lineRule="auto"/>
        <w:jc w:val="both"/>
        <w:rPr>
          <w:rFonts w:ascii="Maiandra GD" w:eastAsiaTheme="minorHAnsi" w:hAnsi="Maiandra GD" w:cstheme="minorBidi"/>
        </w:rPr>
      </w:pPr>
      <w:r>
        <w:rPr>
          <w:rFonts w:ascii="Maiandra GD" w:eastAsiaTheme="minorHAnsi" w:hAnsi="Maiandra GD" w:cstheme="minorBidi"/>
        </w:rPr>
        <w:t>These occasions have always been stimulating</w:t>
      </w:r>
      <w:r w:rsidR="0062120C">
        <w:rPr>
          <w:rFonts w:ascii="Maiandra GD" w:eastAsiaTheme="minorHAnsi" w:hAnsi="Maiandra GD" w:cstheme="minorBidi"/>
        </w:rPr>
        <w:t xml:space="preserve"> and enjoyable encounters</w:t>
      </w:r>
      <w:r w:rsidR="00EE0134">
        <w:rPr>
          <w:rFonts w:ascii="Maiandra GD" w:eastAsiaTheme="minorHAnsi" w:hAnsi="Maiandra GD" w:cstheme="minorBidi"/>
        </w:rPr>
        <w:t xml:space="preserve"> which were often marked in the Court of Appeal by my failing to get out much more than </w:t>
      </w:r>
      <w:r w:rsidR="00742B92">
        <w:rPr>
          <w:rFonts w:ascii="Maiandra GD" w:eastAsiaTheme="minorHAnsi" w:hAnsi="Maiandra GD" w:cstheme="minorBidi"/>
        </w:rPr>
        <w:t xml:space="preserve">my first sentence before the Bench </w:t>
      </w:r>
      <w:r w:rsidR="005477EE">
        <w:rPr>
          <w:rFonts w:ascii="Maiandra GD" w:eastAsiaTheme="minorHAnsi" w:hAnsi="Maiandra GD" w:cstheme="minorBidi"/>
        </w:rPr>
        <w:t xml:space="preserve">would make </w:t>
      </w:r>
      <w:r w:rsidR="00742B92">
        <w:rPr>
          <w:rFonts w:ascii="Maiandra GD" w:eastAsiaTheme="minorHAnsi" w:hAnsi="Maiandra GD" w:cstheme="minorBidi"/>
        </w:rPr>
        <w:t xml:space="preserve">a ‘helpful’ interjection and thus start a </w:t>
      </w:r>
      <w:r w:rsidR="00D43AE4">
        <w:rPr>
          <w:rFonts w:ascii="Maiandra GD" w:eastAsiaTheme="minorHAnsi" w:hAnsi="Maiandra GD" w:cstheme="minorBidi"/>
        </w:rPr>
        <w:t xml:space="preserve">constructive dialogue which </w:t>
      </w:r>
      <w:r w:rsidR="00515B4B">
        <w:rPr>
          <w:rFonts w:ascii="Maiandra GD" w:eastAsiaTheme="minorHAnsi" w:hAnsi="Maiandra GD" w:cstheme="minorBidi"/>
        </w:rPr>
        <w:t>then might</w:t>
      </w:r>
      <w:r w:rsidR="00D43AE4">
        <w:rPr>
          <w:rFonts w:ascii="Maiandra GD" w:eastAsiaTheme="minorHAnsi" w:hAnsi="Maiandra GD" w:cstheme="minorBidi"/>
        </w:rPr>
        <w:t xml:space="preserve"> move far away from the points that I had intended to make</w:t>
      </w:r>
      <w:r w:rsidR="00515B4B">
        <w:rPr>
          <w:rFonts w:ascii="Maiandra GD" w:eastAsiaTheme="minorHAnsi" w:hAnsi="Maiandra GD" w:cstheme="minorBidi"/>
        </w:rPr>
        <w:t>!</w:t>
      </w:r>
    </w:p>
    <w:p w14:paraId="3B684A4C" w14:textId="77777777" w:rsidR="00E30CDF" w:rsidRDefault="00E30CDF" w:rsidP="00B87A31">
      <w:pPr>
        <w:spacing w:line="360" w:lineRule="auto"/>
        <w:jc w:val="both"/>
        <w:rPr>
          <w:rFonts w:ascii="Maiandra GD" w:eastAsiaTheme="minorHAnsi" w:hAnsi="Maiandra GD" w:cstheme="minorBidi"/>
        </w:rPr>
      </w:pPr>
    </w:p>
    <w:p w14:paraId="50001028" w14:textId="74990914" w:rsidR="00D43AE4" w:rsidRPr="00120331" w:rsidRDefault="00D43AE4" w:rsidP="00B87A31">
      <w:pPr>
        <w:spacing w:line="360" w:lineRule="auto"/>
        <w:jc w:val="both"/>
        <w:rPr>
          <w:rFonts w:ascii="Maiandra GD" w:eastAsiaTheme="minorHAnsi" w:hAnsi="Maiandra GD" w:cstheme="minorBidi"/>
        </w:rPr>
      </w:pPr>
      <w:r>
        <w:rPr>
          <w:rFonts w:ascii="Maiandra GD" w:eastAsiaTheme="minorHAnsi" w:hAnsi="Maiandra GD" w:cstheme="minorBidi"/>
        </w:rPr>
        <w:t>This evening, whilst my level of a</w:t>
      </w:r>
      <w:r w:rsidR="009D6E86">
        <w:rPr>
          <w:rFonts w:ascii="Maiandra GD" w:eastAsiaTheme="minorHAnsi" w:hAnsi="Maiandra GD" w:cstheme="minorBidi"/>
        </w:rPr>
        <w:t xml:space="preserve">pprehension is as high as ever, as </w:t>
      </w:r>
      <w:r w:rsidR="00E3426B">
        <w:rPr>
          <w:rFonts w:ascii="Maiandra GD" w:eastAsiaTheme="minorHAnsi" w:hAnsi="Maiandra GD" w:cstheme="minorBidi"/>
        </w:rPr>
        <w:t>the lecturer</w:t>
      </w:r>
      <w:r w:rsidR="00E30CDF">
        <w:rPr>
          <w:rFonts w:ascii="Maiandra GD" w:eastAsiaTheme="minorHAnsi" w:hAnsi="Maiandra GD" w:cstheme="minorBidi"/>
        </w:rPr>
        <w:t>, rather than as counsel or a witness, I have some expectation, or at least</w:t>
      </w:r>
      <w:r w:rsidR="005477EE">
        <w:rPr>
          <w:rFonts w:ascii="Maiandra GD" w:eastAsiaTheme="minorHAnsi" w:hAnsi="Maiandra GD" w:cstheme="minorBidi"/>
        </w:rPr>
        <w:t xml:space="preserve"> a</w:t>
      </w:r>
      <w:r w:rsidR="00E30CDF">
        <w:rPr>
          <w:rFonts w:ascii="Maiandra GD" w:eastAsiaTheme="minorHAnsi" w:hAnsi="Maiandra GD" w:cstheme="minorBidi"/>
        </w:rPr>
        <w:t xml:space="preserve"> faint hope, of proceeding a tad further before the first interruption </w:t>
      </w:r>
      <w:r w:rsidR="005477EE">
        <w:rPr>
          <w:rFonts w:ascii="Maiandra GD" w:eastAsiaTheme="minorHAnsi" w:hAnsi="Maiandra GD" w:cstheme="minorBidi"/>
        </w:rPr>
        <w:t>occurs: we shall see!</w:t>
      </w:r>
    </w:p>
    <w:p w14:paraId="43FF6A20" w14:textId="77777777" w:rsidR="00120331" w:rsidRPr="00120331" w:rsidRDefault="00120331" w:rsidP="00B87A31">
      <w:pPr>
        <w:spacing w:line="360" w:lineRule="auto"/>
        <w:jc w:val="both"/>
        <w:rPr>
          <w:rFonts w:ascii="Maiandra GD" w:eastAsiaTheme="minorHAnsi" w:hAnsi="Maiandra GD" w:cstheme="minorBidi"/>
        </w:rPr>
      </w:pPr>
    </w:p>
    <w:p w14:paraId="38972272" w14:textId="23DA684B" w:rsidR="00120331" w:rsidRPr="00120331" w:rsidRDefault="00120331" w:rsidP="00B87A31">
      <w:pPr>
        <w:spacing w:line="360" w:lineRule="auto"/>
        <w:jc w:val="both"/>
        <w:rPr>
          <w:rFonts w:ascii="Maiandra GD" w:eastAsiaTheme="minorHAnsi" w:hAnsi="Maiandra GD" w:cstheme="minorBidi"/>
        </w:rPr>
      </w:pPr>
      <w:r w:rsidRPr="00120331">
        <w:rPr>
          <w:rFonts w:ascii="Maiandra GD" w:eastAsiaTheme="minorHAnsi" w:hAnsi="Maiandra GD" w:cstheme="minorBidi"/>
        </w:rPr>
        <w:t>Partly because mention of the name ‘Butler-Sloss’ inevitably brings the topic to mind, but mainly because I apprehend that there is from time to time a need to lift one’s eyes from the day-to-day work of the courts and the child protection system to look back on the road that has been travelled thus</w:t>
      </w:r>
      <w:r w:rsidR="007F7014">
        <w:rPr>
          <w:rFonts w:ascii="Maiandra GD" w:eastAsiaTheme="minorHAnsi" w:hAnsi="Maiandra GD" w:cstheme="minorBidi"/>
        </w:rPr>
        <w:t xml:space="preserve">, I have chosen to </w:t>
      </w:r>
      <w:r w:rsidR="001E3B20">
        <w:rPr>
          <w:rFonts w:ascii="Maiandra GD" w:eastAsiaTheme="minorHAnsi" w:hAnsi="Maiandra GD" w:cstheme="minorBidi"/>
        </w:rPr>
        <w:t>adopt a retrospective view point.</w:t>
      </w:r>
    </w:p>
    <w:p w14:paraId="19113A92" w14:textId="77777777" w:rsidR="00120331" w:rsidRPr="00120331" w:rsidRDefault="00120331" w:rsidP="00B87A31">
      <w:pPr>
        <w:spacing w:line="360" w:lineRule="auto"/>
        <w:jc w:val="both"/>
        <w:rPr>
          <w:rFonts w:ascii="Maiandra GD" w:eastAsiaTheme="minorHAnsi" w:hAnsi="Maiandra GD" w:cstheme="minorBidi"/>
        </w:rPr>
      </w:pPr>
    </w:p>
    <w:p w14:paraId="4500ADA2" w14:textId="7B93B3C6" w:rsidR="00120331" w:rsidRPr="00120331" w:rsidRDefault="00120331" w:rsidP="00B87A31">
      <w:pPr>
        <w:spacing w:line="360" w:lineRule="auto"/>
        <w:jc w:val="both"/>
        <w:rPr>
          <w:rFonts w:ascii="Maiandra GD" w:eastAsiaTheme="minorHAnsi" w:hAnsi="Maiandra GD" w:cstheme="minorBidi"/>
        </w:rPr>
      </w:pPr>
      <w:r w:rsidRPr="00120331">
        <w:rPr>
          <w:rFonts w:ascii="Maiandra GD" w:eastAsiaTheme="minorHAnsi" w:hAnsi="Maiandra GD" w:cstheme="minorBidi"/>
        </w:rPr>
        <w:t xml:space="preserve">Those born after the mid-1980’s must find it difficult to imagine that those of us who were working then operated in a world where the fax machine was the </w:t>
      </w:r>
      <w:r w:rsidR="001E3B20" w:rsidRPr="00120331">
        <w:rPr>
          <w:rFonts w:ascii="Maiandra GD" w:eastAsiaTheme="minorHAnsi" w:hAnsi="Maiandra GD" w:cstheme="minorBidi"/>
        </w:rPr>
        <w:t>state-of-the-art</w:t>
      </w:r>
      <w:r w:rsidRPr="00120331">
        <w:rPr>
          <w:rFonts w:ascii="Maiandra GD" w:eastAsiaTheme="minorHAnsi" w:hAnsi="Maiandra GD" w:cstheme="minorBidi"/>
        </w:rPr>
        <w:t xml:space="preserve"> gadget, and where computers and word processing were yet to become part of our lives. In the same way, the generation that came into child protection work in or after the mid-1990’s may well have assumed that physical abuse, sexual abuse and emotional abuse had always been acknowledged and understood by child protection professionals and the courts; it being hard, once one has realised the existence of such abuse oneself, to contemplate that it was not always so.</w:t>
      </w:r>
    </w:p>
    <w:p w14:paraId="4611FB57" w14:textId="77777777" w:rsidR="00120331" w:rsidRPr="00120331" w:rsidRDefault="00120331" w:rsidP="00B87A31">
      <w:pPr>
        <w:spacing w:line="360" w:lineRule="auto"/>
        <w:jc w:val="both"/>
        <w:rPr>
          <w:rFonts w:ascii="Maiandra GD" w:eastAsiaTheme="minorHAnsi" w:hAnsi="Maiandra GD" w:cstheme="minorBidi"/>
        </w:rPr>
      </w:pPr>
    </w:p>
    <w:p w14:paraId="0325CD97" w14:textId="47777A94" w:rsidR="007F5ED6" w:rsidRPr="00B87A31" w:rsidRDefault="00120331" w:rsidP="00B87A31">
      <w:pPr>
        <w:spacing w:line="360" w:lineRule="auto"/>
        <w:jc w:val="both"/>
        <w:rPr>
          <w:rFonts w:ascii="Maiandra GD" w:eastAsiaTheme="minorHAnsi" w:hAnsi="Maiandra GD" w:cstheme="minorBidi"/>
        </w:rPr>
      </w:pPr>
      <w:r w:rsidRPr="00120331">
        <w:rPr>
          <w:rFonts w:ascii="Maiandra GD" w:eastAsiaTheme="minorHAnsi" w:hAnsi="Maiandra GD" w:cstheme="minorBidi"/>
        </w:rPr>
        <w:t>There is, therefore, in my view, benefit in ‘telling the story’ of the growth of our understanding of child abuse, partly so that the lessons that have been learned along the way can be retained in memory, and partly so that we may contemplate the current position in the context of a developing body of understanding, rather than something that is necessarily set in stone. I also believe [and I earnestly hope for your sakes that you will agree] that it is an interesting, and at times striking story, which shows, alongside clear success, a number of occasions when the pendulum of understanding has swung too far in one direction or the other, so that that which we would now class as child abuse has either been undetected or over-sensitively diagnosed.</w:t>
      </w:r>
    </w:p>
    <w:p w14:paraId="78D18236" w14:textId="0CDFBEF2" w:rsidR="005F0676" w:rsidRPr="003D2718" w:rsidRDefault="005F0676" w:rsidP="00B87A31">
      <w:pPr>
        <w:pStyle w:val="ParaLevel1"/>
        <w:numPr>
          <w:ilvl w:val="0"/>
          <w:numId w:val="0"/>
        </w:numPr>
        <w:spacing w:line="360" w:lineRule="auto"/>
        <w:rPr>
          <w:rFonts w:ascii="Maiandra GD" w:hAnsi="Maiandra GD"/>
          <w:szCs w:val="24"/>
        </w:rPr>
      </w:pPr>
      <w:r w:rsidRPr="003D2718">
        <w:rPr>
          <w:rFonts w:ascii="Maiandra GD" w:hAnsi="Maiandra GD"/>
          <w:szCs w:val="24"/>
        </w:rPr>
        <w:t>I, I suspect in common with anyone who works in the field of child protection and child abuse, will have faced a question from a friend or acquaintance along these lines: “There seems to be much more child abuse around; are people abusing children more or are we just better at detecting it?”</w:t>
      </w:r>
    </w:p>
    <w:p w14:paraId="187D49CE" w14:textId="107C1A90" w:rsidR="005F0676" w:rsidRPr="003D2718" w:rsidRDefault="005F0676" w:rsidP="00B87A31">
      <w:pPr>
        <w:pStyle w:val="ParaLevel1"/>
        <w:numPr>
          <w:ilvl w:val="0"/>
          <w:numId w:val="0"/>
        </w:numPr>
        <w:spacing w:line="360" w:lineRule="auto"/>
        <w:rPr>
          <w:rFonts w:ascii="Maiandra GD" w:hAnsi="Maiandra GD"/>
          <w:szCs w:val="24"/>
        </w:rPr>
      </w:pPr>
      <w:r w:rsidRPr="003D2718">
        <w:rPr>
          <w:rFonts w:ascii="Maiandra GD" w:hAnsi="Maiandra GD"/>
          <w:szCs w:val="24"/>
        </w:rPr>
        <w:t xml:space="preserve">Whilst, of course, one answer to that question may be “Yes” to both elements, </w:t>
      </w:r>
      <w:r w:rsidR="00ED3A31" w:rsidRPr="003D2718">
        <w:rPr>
          <w:rFonts w:ascii="Maiandra GD" w:hAnsi="Maiandra GD"/>
          <w:szCs w:val="24"/>
        </w:rPr>
        <w:t xml:space="preserve">but </w:t>
      </w:r>
      <w:r w:rsidRPr="003D2718">
        <w:rPr>
          <w:rFonts w:ascii="Maiandra GD" w:hAnsi="Maiandra GD"/>
          <w:szCs w:val="24"/>
        </w:rPr>
        <w:t>as I will suggest</w:t>
      </w:r>
      <w:r w:rsidR="00ED3A31" w:rsidRPr="003D2718">
        <w:rPr>
          <w:rFonts w:ascii="Maiandra GD" w:hAnsi="Maiandra GD"/>
          <w:szCs w:val="24"/>
        </w:rPr>
        <w:t>,</w:t>
      </w:r>
      <w:r w:rsidRPr="003D2718">
        <w:rPr>
          <w:rFonts w:ascii="Maiandra GD" w:hAnsi="Maiandra GD"/>
          <w:szCs w:val="24"/>
        </w:rPr>
        <w:t xml:space="preserve"> the latter is certainly the case.</w:t>
      </w:r>
    </w:p>
    <w:p w14:paraId="198524CD" w14:textId="4CB8800D" w:rsidR="005F0676" w:rsidRPr="003D2718" w:rsidRDefault="005F0676" w:rsidP="00B87A31">
      <w:pPr>
        <w:pStyle w:val="ParaLevel1"/>
        <w:numPr>
          <w:ilvl w:val="0"/>
          <w:numId w:val="0"/>
        </w:numPr>
        <w:spacing w:line="360" w:lineRule="auto"/>
        <w:rPr>
          <w:rFonts w:ascii="Maiandra GD" w:hAnsi="Maiandra GD"/>
          <w:szCs w:val="24"/>
        </w:rPr>
      </w:pPr>
      <w:r w:rsidRPr="003D2718">
        <w:rPr>
          <w:rFonts w:ascii="Maiandra GD" w:hAnsi="Maiandra GD"/>
          <w:szCs w:val="24"/>
        </w:rPr>
        <w:t>It is, I hope</w:t>
      </w:r>
      <w:r w:rsidR="00ED3A31" w:rsidRPr="003D2718">
        <w:rPr>
          <w:rFonts w:ascii="Maiandra GD" w:hAnsi="Maiandra GD"/>
          <w:szCs w:val="24"/>
        </w:rPr>
        <w:t>,</w:t>
      </w:r>
      <w:r w:rsidRPr="003D2718">
        <w:rPr>
          <w:rFonts w:ascii="Maiandra GD" w:hAnsi="Maiandra GD"/>
          <w:szCs w:val="24"/>
        </w:rPr>
        <w:t xml:space="preserve"> helpful to take this opportunity to set out an account of our developing knowledge of child abuse and, by </w:t>
      </w:r>
      <w:r w:rsidR="00D13573" w:rsidRPr="003D2718">
        <w:rPr>
          <w:rFonts w:ascii="Maiandra GD" w:hAnsi="Maiandra GD"/>
          <w:szCs w:val="24"/>
        </w:rPr>
        <w:t xml:space="preserve">doing so, </w:t>
      </w:r>
      <w:r w:rsidR="00ED3A31" w:rsidRPr="003D2718">
        <w:rPr>
          <w:rFonts w:ascii="Maiandra GD" w:hAnsi="Maiandra GD"/>
          <w:szCs w:val="24"/>
        </w:rPr>
        <w:t xml:space="preserve">demonstrate </w:t>
      </w:r>
      <w:r w:rsidR="00D13573" w:rsidRPr="003D2718">
        <w:rPr>
          <w:rFonts w:ascii="Maiandra GD" w:hAnsi="Maiandra GD"/>
          <w:szCs w:val="24"/>
        </w:rPr>
        <w:t>just how little was known, understood and, importantly, publicly accepted only fifty or so years ago, and to demonstrate just how far our understanding and acceptance has developed during the past half century.</w:t>
      </w:r>
    </w:p>
    <w:p w14:paraId="23E19275" w14:textId="0AA22328" w:rsidR="00D13573" w:rsidRPr="003D2718" w:rsidRDefault="00D13573" w:rsidP="00B87A31">
      <w:pPr>
        <w:pStyle w:val="ParaLevel1"/>
        <w:numPr>
          <w:ilvl w:val="0"/>
          <w:numId w:val="0"/>
        </w:numPr>
        <w:spacing w:line="360" w:lineRule="auto"/>
        <w:rPr>
          <w:rFonts w:ascii="Maiandra GD" w:hAnsi="Maiandra GD"/>
          <w:szCs w:val="24"/>
        </w:rPr>
      </w:pPr>
      <w:r w:rsidRPr="003D2718">
        <w:rPr>
          <w:rFonts w:ascii="Maiandra GD" w:hAnsi="Maiandra GD"/>
          <w:szCs w:val="24"/>
        </w:rPr>
        <w:lastRenderedPageBreak/>
        <w:t xml:space="preserve">Although this theme has been at the back of my mind for a long time, the invitation to give this, the first Butler-Sloss </w:t>
      </w:r>
      <w:r w:rsidR="00ED3A31" w:rsidRPr="003D2718">
        <w:rPr>
          <w:rFonts w:ascii="Maiandra GD" w:hAnsi="Maiandra GD"/>
          <w:szCs w:val="24"/>
        </w:rPr>
        <w:t xml:space="preserve">Lecture </w:t>
      </w:r>
      <w:r w:rsidRPr="003D2718">
        <w:rPr>
          <w:rFonts w:ascii="Maiandra GD" w:hAnsi="Maiandra GD"/>
          <w:szCs w:val="24"/>
        </w:rPr>
        <w:t xml:space="preserve">at Exeter University, has provided the catalyst and focus to bring it to the fore, given the prominent place that </w:t>
      </w:r>
      <w:r w:rsidR="008E7F36">
        <w:rPr>
          <w:rFonts w:ascii="Maiandra GD" w:hAnsi="Maiandra GD"/>
          <w:szCs w:val="24"/>
        </w:rPr>
        <w:t>Baroness Butler-Sloss has played down the years both as a judge and, of course, as the chair of the highly influential</w:t>
      </w:r>
      <w:r w:rsidR="005B3C39">
        <w:rPr>
          <w:rFonts w:ascii="Maiandra GD" w:hAnsi="Maiandra GD"/>
          <w:szCs w:val="24"/>
        </w:rPr>
        <w:t xml:space="preserve"> 1988</w:t>
      </w:r>
      <w:r w:rsidR="008E7F36">
        <w:rPr>
          <w:rFonts w:ascii="Maiandra GD" w:hAnsi="Maiandra GD"/>
          <w:szCs w:val="24"/>
        </w:rPr>
        <w:t xml:space="preserve"> </w:t>
      </w:r>
      <w:r w:rsidRPr="003D2718">
        <w:rPr>
          <w:rFonts w:ascii="Maiandra GD" w:hAnsi="Maiandra GD"/>
          <w:szCs w:val="24"/>
        </w:rPr>
        <w:t>Inquiry into child abuse in Cleveland</w:t>
      </w:r>
      <w:r w:rsidR="008E7F36">
        <w:rPr>
          <w:rFonts w:ascii="Maiandra GD" w:hAnsi="Maiandra GD"/>
          <w:szCs w:val="24"/>
        </w:rPr>
        <w:t>.</w:t>
      </w:r>
    </w:p>
    <w:p w14:paraId="189594AA" w14:textId="374B0615" w:rsidR="00E86431" w:rsidRDefault="00D13573" w:rsidP="00B87A31">
      <w:pPr>
        <w:pStyle w:val="ParaLevel1"/>
        <w:numPr>
          <w:ilvl w:val="0"/>
          <w:numId w:val="0"/>
        </w:numPr>
        <w:spacing w:line="360" w:lineRule="auto"/>
        <w:rPr>
          <w:rFonts w:ascii="Maiandra GD" w:hAnsi="Maiandra GD"/>
          <w:szCs w:val="24"/>
        </w:rPr>
      </w:pPr>
      <w:r w:rsidRPr="003D2718">
        <w:rPr>
          <w:rFonts w:ascii="Maiandra GD" w:hAnsi="Maiandra GD"/>
          <w:szCs w:val="24"/>
        </w:rPr>
        <w:t>Before</w:t>
      </w:r>
      <w:r w:rsidR="00CF65DE">
        <w:rPr>
          <w:rFonts w:ascii="Maiandra GD" w:hAnsi="Maiandra GD"/>
          <w:szCs w:val="24"/>
        </w:rPr>
        <w:t xml:space="preserve"> embarking</w:t>
      </w:r>
      <w:r w:rsidRPr="003D2718">
        <w:rPr>
          <w:rFonts w:ascii="Maiandra GD" w:hAnsi="Maiandra GD"/>
          <w:szCs w:val="24"/>
        </w:rPr>
        <w:t xml:space="preserve"> </w:t>
      </w:r>
      <w:r w:rsidR="00CF65DE">
        <w:rPr>
          <w:rFonts w:ascii="Maiandra GD" w:hAnsi="Maiandra GD"/>
          <w:szCs w:val="24"/>
        </w:rPr>
        <w:t>o</w:t>
      </w:r>
      <w:r w:rsidR="00594187">
        <w:rPr>
          <w:rFonts w:ascii="Maiandra GD" w:hAnsi="Maiandra GD"/>
          <w:szCs w:val="24"/>
        </w:rPr>
        <w:t xml:space="preserve">n my </w:t>
      </w:r>
      <w:r w:rsidR="00221582">
        <w:rPr>
          <w:rFonts w:ascii="Maiandra GD" w:hAnsi="Maiandra GD"/>
          <w:szCs w:val="24"/>
        </w:rPr>
        <w:t>narrative,</w:t>
      </w:r>
      <w:r w:rsidRPr="003D2718">
        <w:rPr>
          <w:rFonts w:ascii="Maiandra GD" w:hAnsi="Maiandra GD"/>
          <w:szCs w:val="24"/>
        </w:rPr>
        <w:t xml:space="preserve"> I do</w:t>
      </w:r>
      <w:r w:rsidR="00221582">
        <w:rPr>
          <w:rFonts w:ascii="Maiandra GD" w:hAnsi="Maiandra GD"/>
          <w:szCs w:val="24"/>
        </w:rPr>
        <w:t xml:space="preserve"> </w:t>
      </w:r>
      <w:r w:rsidRPr="003D2718">
        <w:rPr>
          <w:rFonts w:ascii="Maiandra GD" w:hAnsi="Maiandra GD"/>
          <w:szCs w:val="24"/>
        </w:rPr>
        <w:t>wish to express my great gratitude to Dr P</w:t>
      </w:r>
      <w:r w:rsidR="00174C31">
        <w:rPr>
          <w:rFonts w:ascii="Maiandra GD" w:hAnsi="Maiandra GD"/>
          <w:szCs w:val="24"/>
        </w:rPr>
        <w:t>olly</w:t>
      </w:r>
      <w:r w:rsidRPr="003D2718">
        <w:rPr>
          <w:rFonts w:ascii="Maiandra GD" w:hAnsi="Maiandra GD"/>
          <w:szCs w:val="24"/>
        </w:rPr>
        <w:t xml:space="preserve"> Lord, a Research Assistant here at Exeter University, who conducted an extensive literature review of the topic to assist me.  Much of the detail in this address comes from Dr Lord’s </w:t>
      </w:r>
      <w:r w:rsidR="00CC5B8C" w:rsidRPr="003D2718">
        <w:rPr>
          <w:rFonts w:ascii="Maiandra GD" w:hAnsi="Maiandra GD"/>
          <w:szCs w:val="24"/>
        </w:rPr>
        <w:t xml:space="preserve">endeavours and the credit for </w:t>
      </w:r>
      <w:r w:rsidR="00594187">
        <w:rPr>
          <w:rFonts w:ascii="Maiandra GD" w:hAnsi="Maiandra GD"/>
          <w:szCs w:val="24"/>
        </w:rPr>
        <w:t xml:space="preserve">any scholarship that I might </w:t>
      </w:r>
      <w:r w:rsidR="00C30537">
        <w:rPr>
          <w:rFonts w:ascii="Maiandra GD" w:hAnsi="Maiandra GD"/>
          <w:szCs w:val="24"/>
        </w:rPr>
        <w:t>present is</w:t>
      </w:r>
      <w:r w:rsidR="00CC5B8C" w:rsidRPr="003D2718">
        <w:rPr>
          <w:rFonts w:ascii="Maiandra GD" w:hAnsi="Maiandra GD"/>
          <w:szCs w:val="24"/>
        </w:rPr>
        <w:t xml:space="preserve"> entirely hers</w:t>
      </w:r>
      <w:r w:rsidR="00C30537">
        <w:rPr>
          <w:rFonts w:ascii="Maiandra GD" w:hAnsi="Maiandra GD"/>
          <w:szCs w:val="24"/>
        </w:rPr>
        <w:t>; the mistakes and poor grammar are, of course, entirely my own work.</w:t>
      </w:r>
    </w:p>
    <w:p w14:paraId="5B9B68D8" w14:textId="77777777" w:rsidR="00C30537" w:rsidRPr="00594187" w:rsidRDefault="00C30537" w:rsidP="00B87A31">
      <w:pPr>
        <w:pStyle w:val="ParaLevel1"/>
        <w:numPr>
          <w:ilvl w:val="0"/>
          <w:numId w:val="0"/>
        </w:numPr>
        <w:spacing w:line="360" w:lineRule="auto"/>
        <w:rPr>
          <w:rFonts w:ascii="Maiandra GD" w:hAnsi="Maiandra GD"/>
          <w:szCs w:val="24"/>
        </w:rPr>
      </w:pPr>
    </w:p>
    <w:p w14:paraId="3D74F56E" w14:textId="77777777" w:rsidR="00CC5B8C" w:rsidRPr="003D2718" w:rsidRDefault="00A53CB1" w:rsidP="00B87A31">
      <w:pPr>
        <w:pStyle w:val="ParaLevel1"/>
        <w:numPr>
          <w:ilvl w:val="0"/>
          <w:numId w:val="0"/>
        </w:numPr>
        <w:spacing w:line="360" w:lineRule="auto"/>
        <w:rPr>
          <w:rFonts w:ascii="Maiandra GD" w:hAnsi="Maiandra GD"/>
          <w:b/>
          <w:szCs w:val="24"/>
          <w:u w:val="single"/>
        </w:rPr>
      </w:pPr>
      <w:r w:rsidRPr="003D2718">
        <w:rPr>
          <w:rFonts w:ascii="Maiandra GD" w:hAnsi="Maiandra GD"/>
          <w:b/>
          <w:szCs w:val="24"/>
          <w:u w:val="single"/>
        </w:rPr>
        <w:t>The nineteenth and early twentieth century</w:t>
      </w:r>
    </w:p>
    <w:p w14:paraId="4AF8553A" w14:textId="66B76F43" w:rsidR="00A53CB1" w:rsidRPr="003D2718" w:rsidRDefault="00A53CB1" w:rsidP="00B87A31">
      <w:pPr>
        <w:pStyle w:val="ParaLevel1"/>
        <w:numPr>
          <w:ilvl w:val="0"/>
          <w:numId w:val="0"/>
        </w:numPr>
        <w:spacing w:line="360" w:lineRule="auto"/>
        <w:rPr>
          <w:rFonts w:ascii="Maiandra GD" w:hAnsi="Maiandra GD"/>
          <w:szCs w:val="24"/>
        </w:rPr>
      </w:pPr>
      <w:r w:rsidRPr="003D2718">
        <w:rPr>
          <w:rFonts w:ascii="Maiandra GD" w:hAnsi="Maiandra GD"/>
          <w:szCs w:val="24"/>
        </w:rPr>
        <w:t xml:space="preserve">It is not my purpose to delve deeply into the manner in which children were treated and abused in Victorian times or in the period up to the Second World War.  As Hogarth’s </w:t>
      </w:r>
      <w:r w:rsidR="00ED3A31" w:rsidRPr="003D2718">
        <w:rPr>
          <w:rFonts w:ascii="Maiandra GD" w:hAnsi="Maiandra GD"/>
          <w:szCs w:val="24"/>
        </w:rPr>
        <w:t xml:space="preserve">print </w:t>
      </w:r>
      <w:r w:rsidRPr="003D2718">
        <w:rPr>
          <w:rFonts w:ascii="Maiandra GD" w:hAnsi="Maiandra GD"/>
          <w:szCs w:val="24"/>
        </w:rPr>
        <w:t>of ‘Gin Lane’ and the works of Charles Dickens indicate</w:t>
      </w:r>
      <w:r w:rsidR="00832902">
        <w:rPr>
          <w:rFonts w:ascii="Maiandra GD" w:hAnsi="Maiandra GD"/>
          <w:szCs w:val="24"/>
        </w:rPr>
        <w:t>,</w:t>
      </w:r>
      <w:r w:rsidRPr="003D2718">
        <w:rPr>
          <w:rFonts w:ascii="Maiandra GD" w:hAnsi="Maiandra GD"/>
          <w:szCs w:val="24"/>
        </w:rPr>
        <w:t xml:space="preserve"> life for many, perhaps particularly children, was nasty, brutish and short.  Much that we now regard as child abuse will have taken place in plain sight and will have been accepted simply as part of ordinary life.  The law relating to the care of children was couched in terms of property rights, as opposed to welfare.  The mothers of children had few parental rights against the father</w:t>
      </w:r>
      <w:r w:rsidR="00832902">
        <w:rPr>
          <w:rFonts w:ascii="Maiandra GD" w:hAnsi="Maiandra GD"/>
          <w:szCs w:val="24"/>
        </w:rPr>
        <w:t>,</w:t>
      </w:r>
      <w:r w:rsidRPr="003D2718">
        <w:rPr>
          <w:rFonts w:ascii="Maiandra GD" w:hAnsi="Maiandra GD"/>
          <w:szCs w:val="24"/>
        </w:rPr>
        <w:t xml:space="preserve"> and society as a whole regarded the upbringing and discipline of children as essentially a matter for each parent, rather than something about which society, in the form of the </w:t>
      </w:r>
      <w:r w:rsidR="00832902">
        <w:rPr>
          <w:rFonts w:ascii="Maiandra GD" w:hAnsi="Maiandra GD"/>
          <w:szCs w:val="24"/>
        </w:rPr>
        <w:t>S</w:t>
      </w:r>
      <w:r w:rsidRPr="003D2718">
        <w:rPr>
          <w:rFonts w:ascii="Maiandra GD" w:hAnsi="Maiandra GD"/>
          <w:szCs w:val="24"/>
        </w:rPr>
        <w:t>tate, should intervene.</w:t>
      </w:r>
    </w:p>
    <w:p w14:paraId="33EA6ADD" w14:textId="2CC0C1D9" w:rsidR="00A53CB1" w:rsidRPr="003D2718" w:rsidRDefault="00A53CB1" w:rsidP="00B87A31">
      <w:pPr>
        <w:pStyle w:val="ParaLevel1"/>
        <w:numPr>
          <w:ilvl w:val="0"/>
          <w:numId w:val="0"/>
        </w:numPr>
        <w:spacing w:line="360" w:lineRule="auto"/>
        <w:rPr>
          <w:rFonts w:ascii="Maiandra GD" w:hAnsi="Maiandra GD"/>
          <w:szCs w:val="24"/>
        </w:rPr>
      </w:pPr>
      <w:r w:rsidRPr="003D2718">
        <w:rPr>
          <w:rFonts w:ascii="Maiandra GD" w:hAnsi="Maiandra GD"/>
          <w:szCs w:val="24"/>
        </w:rPr>
        <w:t>Any concern about child abuse was framed by reference to questions of poverty, and social circumstance, rather than the behaviour of any individual adult towards a particular child.  In the nineteenth century, reformers who sought to bring in legislation to prevent the battering and sexual abuse of children, were met with resistance by parents who had endured the same treatment and concluded that it had ‘never hurt me’</w:t>
      </w:r>
      <w:r w:rsidR="003601FF">
        <w:rPr>
          <w:rStyle w:val="FootnoteReference"/>
          <w:rFonts w:ascii="Maiandra GD" w:hAnsi="Maiandra GD"/>
          <w:szCs w:val="24"/>
        </w:rPr>
        <w:footnoteReference w:id="1"/>
      </w:r>
      <w:r w:rsidRPr="003D2718">
        <w:rPr>
          <w:rFonts w:ascii="Maiandra GD" w:hAnsi="Maiandra GD"/>
          <w:szCs w:val="24"/>
        </w:rPr>
        <w:t>.</w:t>
      </w:r>
      <w:r w:rsidR="003601FF">
        <w:rPr>
          <w:rFonts w:ascii="Maiandra GD" w:hAnsi="Maiandra GD"/>
          <w:szCs w:val="24"/>
        </w:rPr>
        <w:t xml:space="preserve"> </w:t>
      </w:r>
      <w:r w:rsidRPr="003D2718">
        <w:rPr>
          <w:rFonts w:ascii="Maiandra GD" w:hAnsi="Maiandra GD"/>
          <w:szCs w:val="24"/>
        </w:rPr>
        <w:t xml:space="preserve">At this time, however, an episode in America caught the public attention and </w:t>
      </w:r>
      <w:r w:rsidRPr="003D2718">
        <w:rPr>
          <w:rFonts w:ascii="Maiandra GD" w:hAnsi="Maiandra GD"/>
          <w:szCs w:val="24"/>
        </w:rPr>
        <w:lastRenderedPageBreak/>
        <w:t>represents the first tentative step towards greater acceptance and understanding of child abuse.</w:t>
      </w:r>
    </w:p>
    <w:p w14:paraId="43125D21" w14:textId="1E82FA2E" w:rsidR="00A53CB1" w:rsidRPr="003D2718" w:rsidRDefault="00A53CB1" w:rsidP="00B87A31">
      <w:pPr>
        <w:pStyle w:val="ParaLevel1"/>
        <w:numPr>
          <w:ilvl w:val="0"/>
          <w:numId w:val="0"/>
        </w:numPr>
        <w:spacing w:line="360" w:lineRule="auto"/>
        <w:rPr>
          <w:rFonts w:ascii="Maiandra GD" w:hAnsi="Maiandra GD"/>
          <w:szCs w:val="24"/>
          <w:u w:val="single"/>
        </w:rPr>
      </w:pPr>
      <w:r w:rsidRPr="003D2718">
        <w:rPr>
          <w:rFonts w:ascii="Maiandra GD" w:hAnsi="Maiandra GD"/>
          <w:szCs w:val="24"/>
        </w:rPr>
        <w:t xml:space="preserve">Mary Ellen Wilson was a nine year old girl who was regularly beaten by her foster parents and was, eventually, found malnourished and confined to her bedroom.  Her suffering was discovered by a missionary, Ellen Wheeler, who was unable to persuade </w:t>
      </w:r>
      <w:r w:rsidR="00B6752D">
        <w:rPr>
          <w:rFonts w:ascii="Maiandra GD" w:hAnsi="Maiandra GD"/>
          <w:szCs w:val="24"/>
        </w:rPr>
        <w:t xml:space="preserve">the </w:t>
      </w:r>
      <w:r w:rsidRPr="003D2718">
        <w:rPr>
          <w:rFonts w:ascii="Maiandra GD" w:hAnsi="Maiandra GD"/>
          <w:szCs w:val="24"/>
        </w:rPr>
        <w:t xml:space="preserve">authorities to intervene due to the countervailing legal right </w:t>
      </w:r>
      <w:r w:rsidR="00F97583" w:rsidRPr="003D2718">
        <w:rPr>
          <w:rFonts w:ascii="Maiandra GD" w:hAnsi="Maiandra GD"/>
          <w:szCs w:val="24"/>
        </w:rPr>
        <w:t xml:space="preserve">for parents and guardians to discipline their children as they wished.  As a last resort, she contacted Henry Bergh of the Society for the Prevention of Cruelty to </w:t>
      </w:r>
      <w:r w:rsidR="00F97583" w:rsidRPr="003D2718">
        <w:rPr>
          <w:rFonts w:ascii="Maiandra GD" w:hAnsi="Maiandra GD"/>
          <w:szCs w:val="24"/>
          <w:u w:val="single"/>
        </w:rPr>
        <w:t>Animals</w:t>
      </w:r>
      <w:r w:rsidR="00F97583" w:rsidRPr="003D2718">
        <w:rPr>
          <w:rFonts w:ascii="Maiandra GD" w:hAnsi="Maiandra GD"/>
          <w:szCs w:val="24"/>
        </w:rPr>
        <w:t xml:space="preserve">, who, together with Elbridge Gerry, initiated court action.  The case was heavily publicised and caused a public outcry, leading to Gerry and Bergh forming the New York Society for the Prevention of Cruelty to </w:t>
      </w:r>
      <w:r w:rsidR="00F97583" w:rsidRPr="003D2718">
        <w:rPr>
          <w:rFonts w:ascii="Maiandra GD" w:hAnsi="Maiandra GD"/>
          <w:szCs w:val="24"/>
          <w:u w:val="single"/>
        </w:rPr>
        <w:t>Children.</w:t>
      </w:r>
    </w:p>
    <w:p w14:paraId="328B8159" w14:textId="012D9AF8" w:rsidR="00F97583" w:rsidRPr="003D2718" w:rsidRDefault="00F97583" w:rsidP="00B87A31">
      <w:pPr>
        <w:pStyle w:val="ParaLevel1"/>
        <w:numPr>
          <w:ilvl w:val="0"/>
          <w:numId w:val="0"/>
        </w:numPr>
        <w:spacing w:line="360" w:lineRule="auto"/>
        <w:rPr>
          <w:rFonts w:ascii="Maiandra GD" w:hAnsi="Maiandra GD"/>
          <w:szCs w:val="24"/>
        </w:rPr>
      </w:pPr>
      <w:r w:rsidRPr="003D2718">
        <w:rPr>
          <w:rFonts w:ascii="Maiandra GD" w:hAnsi="Maiandra GD"/>
          <w:szCs w:val="24"/>
        </w:rPr>
        <w:t>The case has gone down in history as the first example of modern social work.  The formation of the New York Society signalled the beginning of the movement towards statutory child protection together with growing public support.  Similar institutions grew up elsewhere with the aim of saving children, the targets of these endeavours were, however, employers, foster carers or adopters as ‘rarely did</w:t>
      </w:r>
      <w:r w:rsidR="002B68EB" w:rsidRPr="003D2718">
        <w:rPr>
          <w:rFonts w:ascii="Maiandra GD" w:hAnsi="Maiandra GD"/>
          <w:szCs w:val="24"/>
        </w:rPr>
        <w:t xml:space="preserve"> an SPCC intervene against the ‘natural’ balance of power between parents and children.</w:t>
      </w:r>
      <w:r w:rsidR="00667EBC">
        <w:rPr>
          <w:rStyle w:val="FootnoteReference"/>
          <w:rFonts w:ascii="Maiandra GD" w:hAnsi="Maiandra GD"/>
          <w:szCs w:val="24"/>
        </w:rPr>
        <w:footnoteReference w:id="2"/>
      </w:r>
      <w:r w:rsidR="002B68EB" w:rsidRPr="003D2718">
        <w:rPr>
          <w:rFonts w:ascii="Maiandra GD" w:hAnsi="Maiandra GD"/>
          <w:szCs w:val="24"/>
        </w:rPr>
        <w:t>’</w:t>
      </w:r>
      <w:r w:rsidR="00A21438" w:rsidRPr="003D2718">
        <w:rPr>
          <w:rFonts w:ascii="Maiandra GD" w:hAnsi="Maiandra GD"/>
          <w:szCs w:val="24"/>
        </w:rPr>
        <w:t xml:space="preserve"> </w:t>
      </w:r>
      <w:r w:rsidR="002B68EB" w:rsidRPr="003D2718">
        <w:rPr>
          <w:rFonts w:ascii="Maiandra GD" w:hAnsi="Maiandra GD"/>
          <w:szCs w:val="24"/>
        </w:rPr>
        <w:t>As a result, the victims of child abuse, while more visible, were still considered part of the problem of poverty.</w:t>
      </w:r>
    </w:p>
    <w:p w14:paraId="2CEDFC50" w14:textId="77777777" w:rsidR="002B68EB" w:rsidRPr="003D2718" w:rsidRDefault="002B68EB" w:rsidP="00B87A31">
      <w:pPr>
        <w:pStyle w:val="ParaLevel1"/>
        <w:numPr>
          <w:ilvl w:val="0"/>
          <w:numId w:val="0"/>
        </w:numPr>
        <w:spacing w:line="360" w:lineRule="auto"/>
        <w:rPr>
          <w:rFonts w:ascii="Maiandra GD" w:hAnsi="Maiandra GD"/>
          <w:szCs w:val="24"/>
        </w:rPr>
      </w:pPr>
      <w:r w:rsidRPr="003D2718">
        <w:rPr>
          <w:rFonts w:ascii="Maiandra GD" w:hAnsi="Maiandra GD"/>
          <w:szCs w:val="24"/>
        </w:rPr>
        <w:t>The seminal work, which very significantly moved matters on, and with which this account really begins, did not, however, take place until the 1960’s, only some sixty years before today and a time which is in the living memory of a number of us in this room tonight.</w:t>
      </w:r>
    </w:p>
    <w:p w14:paraId="40F55FC1" w14:textId="7C9973B0" w:rsidR="002B68EB" w:rsidRPr="003D2718" w:rsidRDefault="002B68EB" w:rsidP="00B87A31">
      <w:pPr>
        <w:pStyle w:val="ParaLevel1"/>
        <w:numPr>
          <w:ilvl w:val="0"/>
          <w:numId w:val="0"/>
        </w:numPr>
        <w:spacing w:line="360" w:lineRule="auto"/>
        <w:rPr>
          <w:rFonts w:ascii="Maiandra GD" w:hAnsi="Maiandra GD"/>
          <w:szCs w:val="24"/>
        </w:rPr>
      </w:pPr>
      <w:r w:rsidRPr="003D2718">
        <w:rPr>
          <w:rFonts w:ascii="Maiandra GD" w:hAnsi="Maiandra GD"/>
          <w:szCs w:val="24"/>
        </w:rPr>
        <w:t xml:space="preserve">The first half of the twentieth century saw </w:t>
      </w:r>
      <w:r w:rsidR="00ED3A31" w:rsidRPr="003D2718">
        <w:rPr>
          <w:rFonts w:ascii="Maiandra GD" w:hAnsi="Maiandra GD"/>
          <w:szCs w:val="24"/>
        </w:rPr>
        <w:t xml:space="preserve">sustained </w:t>
      </w:r>
      <w:r w:rsidRPr="003D2718">
        <w:rPr>
          <w:rFonts w:ascii="Maiandra GD" w:hAnsi="Maiandra GD"/>
          <w:szCs w:val="24"/>
        </w:rPr>
        <w:t xml:space="preserve">development in the science of paediatric radiology.  It became progressively possible to see more details of </w:t>
      </w:r>
      <w:r w:rsidR="00ED3A31" w:rsidRPr="003D2718">
        <w:rPr>
          <w:rFonts w:ascii="Maiandra GD" w:hAnsi="Maiandra GD"/>
          <w:szCs w:val="24"/>
        </w:rPr>
        <w:t xml:space="preserve">injury </w:t>
      </w:r>
      <w:r w:rsidRPr="003D2718">
        <w:rPr>
          <w:rFonts w:ascii="Maiandra GD" w:hAnsi="Maiandra GD"/>
          <w:szCs w:val="24"/>
        </w:rPr>
        <w:t xml:space="preserve">and </w:t>
      </w:r>
      <w:r w:rsidR="00ED3A31" w:rsidRPr="003D2718">
        <w:rPr>
          <w:rFonts w:ascii="Maiandra GD" w:hAnsi="Maiandra GD"/>
          <w:szCs w:val="24"/>
        </w:rPr>
        <w:t xml:space="preserve">the </w:t>
      </w:r>
      <w:r w:rsidRPr="003D2718">
        <w:rPr>
          <w:rFonts w:ascii="Maiandra GD" w:hAnsi="Maiandra GD"/>
          <w:szCs w:val="24"/>
        </w:rPr>
        <w:t>healing proces</w:t>
      </w:r>
      <w:r w:rsidR="00667EBC">
        <w:rPr>
          <w:rFonts w:ascii="Maiandra GD" w:hAnsi="Maiandra GD"/>
          <w:szCs w:val="24"/>
        </w:rPr>
        <w:t>s</w:t>
      </w:r>
      <w:r w:rsidRPr="003D2718">
        <w:rPr>
          <w:rFonts w:ascii="Maiandra GD" w:hAnsi="Maiandra GD"/>
          <w:szCs w:val="24"/>
        </w:rPr>
        <w:t xml:space="preserve"> in the bones of children.  The beginning of the recognition that children were being physically injured in a significant wa</w:t>
      </w:r>
      <w:r w:rsidR="0032234B">
        <w:rPr>
          <w:rFonts w:ascii="Maiandra GD" w:hAnsi="Maiandra GD"/>
          <w:szCs w:val="24"/>
        </w:rPr>
        <w:t>y</w:t>
      </w:r>
      <w:r w:rsidRPr="003D2718">
        <w:rPr>
          <w:rFonts w:ascii="Maiandra GD" w:hAnsi="Maiandra GD"/>
          <w:szCs w:val="24"/>
        </w:rPr>
        <w:t xml:space="preserve"> is widely ascribed to John Caffey, who wrote an article in 1946 on child fractures.  Despite this growing </w:t>
      </w:r>
      <w:r w:rsidRPr="003D2718">
        <w:rPr>
          <w:rFonts w:ascii="Maiandra GD" w:hAnsi="Maiandra GD"/>
          <w:szCs w:val="24"/>
        </w:rPr>
        <w:lastRenderedPageBreak/>
        <w:t xml:space="preserve">knowledge, the medical profession seemingly accepted accounts which exonerated </w:t>
      </w:r>
      <w:r w:rsidR="00A21438" w:rsidRPr="003D2718">
        <w:rPr>
          <w:rFonts w:ascii="Maiandra GD" w:hAnsi="Maiandra GD"/>
          <w:szCs w:val="24"/>
        </w:rPr>
        <w:t>parents</w:t>
      </w:r>
      <w:r w:rsidR="00ED3A31" w:rsidRPr="003D2718">
        <w:rPr>
          <w:rFonts w:ascii="Maiandra GD" w:hAnsi="Maiandra GD"/>
          <w:szCs w:val="24"/>
        </w:rPr>
        <w:t xml:space="preserve"> from</w:t>
      </w:r>
      <w:r w:rsidRPr="003D2718">
        <w:rPr>
          <w:rFonts w:ascii="Maiandra GD" w:hAnsi="Maiandra GD"/>
          <w:szCs w:val="24"/>
        </w:rPr>
        <w:t xml:space="preserve"> responsibility and for some decades there was an accepted diagnostic condition known as ‘Unexplained Infant Trauma Syndrome’</w:t>
      </w:r>
      <w:r w:rsidR="00ED3A31" w:rsidRPr="003D2718">
        <w:rPr>
          <w:rFonts w:ascii="Maiandra GD" w:hAnsi="Maiandra GD"/>
          <w:szCs w:val="24"/>
        </w:rPr>
        <w:t xml:space="preserve"> in cases of bruising and broken bones</w:t>
      </w:r>
    </w:p>
    <w:p w14:paraId="20674F06" w14:textId="4BB02A3E" w:rsidR="002B68EB" w:rsidRPr="003D2718" w:rsidRDefault="002B68EB" w:rsidP="00B87A31">
      <w:pPr>
        <w:pStyle w:val="ParaLevel1"/>
        <w:numPr>
          <w:ilvl w:val="0"/>
          <w:numId w:val="0"/>
        </w:numPr>
        <w:spacing w:line="360" w:lineRule="auto"/>
        <w:rPr>
          <w:rFonts w:ascii="Maiandra GD" w:hAnsi="Maiandra GD"/>
          <w:szCs w:val="24"/>
        </w:rPr>
      </w:pPr>
      <w:r w:rsidRPr="003D2718">
        <w:rPr>
          <w:rFonts w:ascii="Maiandra GD" w:hAnsi="Maiandra GD"/>
          <w:szCs w:val="24"/>
        </w:rPr>
        <w:t>Then, in 1955, Wooley and Evans studie</w:t>
      </w:r>
      <w:r w:rsidR="0041778A" w:rsidRPr="003D2718">
        <w:rPr>
          <w:rFonts w:ascii="Maiandra GD" w:hAnsi="Maiandra GD"/>
          <w:szCs w:val="24"/>
        </w:rPr>
        <w:t>d</w:t>
      </w:r>
      <w:r w:rsidRPr="003D2718">
        <w:rPr>
          <w:rFonts w:ascii="Maiandra GD" w:hAnsi="Maiandra GD"/>
          <w:szCs w:val="24"/>
        </w:rPr>
        <w:t xml:space="preserve"> twelve children with multiple fractures but no history of trauma.  While subtle in their explanations, they noted that the families showed signs of instability and ‘concluded that the injuries were the result of undesirable vectors of force’</w:t>
      </w:r>
      <w:r w:rsidR="0032234B">
        <w:rPr>
          <w:rStyle w:val="FootnoteReference"/>
          <w:rFonts w:ascii="Maiandra GD" w:hAnsi="Maiandra GD"/>
          <w:szCs w:val="24"/>
        </w:rPr>
        <w:footnoteReference w:id="3"/>
      </w:r>
      <w:r w:rsidRPr="003D2718">
        <w:rPr>
          <w:rFonts w:ascii="Maiandra GD" w:hAnsi="Maiandra GD"/>
          <w:szCs w:val="24"/>
        </w:rPr>
        <w:t>. Despite th</w:t>
      </w:r>
      <w:r w:rsidR="00174C31">
        <w:rPr>
          <w:rFonts w:ascii="Maiandra GD" w:hAnsi="Maiandra GD"/>
          <w:szCs w:val="24"/>
        </w:rPr>
        <w:t>at</w:t>
      </w:r>
      <w:r w:rsidRPr="003D2718">
        <w:rPr>
          <w:rFonts w:ascii="Maiandra GD" w:hAnsi="Maiandra GD"/>
          <w:szCs w:val="24"/>
        </w:rPr>
        <w:t xml:space="preserve"> careful </w:t>
      </w:r>
      <w:r w:rsidR="000378BE" w:rsidRPr="003D2718">
        <w:rPr>
          <w:rFonts w:ascii="Maiandra GD" w:hAnsi="Maiandra GD"/>
          <w:szCs w:val="24"/>
        </w:rPr>
        <w:t>wording</w:t>
      </w:r>
      <w:r w:rsidR="00174C31">
        <w:rPr>
          <w:rFonts w:ascii="Maiandra GD" w:hAnsi="Maiandra GD"/>
          <w:szCs w:val="24"/>
        </w:rPr>
        <w:t>,</w:t>
      </w:r>
      <w:r w:rsidR="000378BE" w:rsidRPr="003D2718">
        <w:rPr>
          <w:rFonts w:ascii="Maiandra GD" w:hAnsi="Maiandra GD"/>
          <w:szCs w:val="24"/>
        </w:rPr>
        <w:t xml:space="preserve"> the message hit </w:t>
      </w:r>
      <w:r w:rsidR="00C74B22" w:rsidRPr="003D2718">
        <w:rPr>
          <w:rFonts w:ascii="Maiandra GD" w:hAnsi="Maiandra GD"/>
          <w:szCs w:val="24"/>
        </w:rPr>
        <w:t>home,</w:t>
      </w:r>
      <w:r w:rsidR="000378BE" w:rsidRPr="003D2718">
        <w:rPr>
          <w:rFonts w:ascii="Maiandra GD" w:hAnsi="Maiandra GD"/>
          <w:szCs w:val="24"/>
        </w:rPr>
        <w:t xml:space="preserve"> and the public were shocked, although, it is said they remained somewhat disbelieving.  Then in 1962 Henry Kempe and his team coined the term ‘Battered </w:t>
      </w:r>
      <w:r w:rsidR="00C74B22">
        <w:rPr>
          <w:rFonts w:ascii="Maiandra GD" w:hAnsi="Maiandra GD"/>
          <w:szCs w:val="24"/>
        </w:rPr>
        <w:t>C</w:t>
      </w:r>
      <w:r w:rsidR="000378BE" w:rsidRPr="003D2718">
        <w:rPr>
          <w:rFonts w:ascii="Maiandra GD" w:hAnsi="Maiandra GD"/>
          <w:szCs w:val="24"/>
        </w:rPr>
        <w:t xml:space="preserve">hild Syndrome’ </w:t>
      </w:r>
      <w:r w:rsidR="00E75A8C" w:rsidRPr="003D2718">
        <w:rPr>
          <w:rFonts w:ascii="Maiandra GD" w:hAnsi="Maiandra GD"/>
          <w:szCs w:val="24"/>
        </w:rPr>
        <w:t xml:space="preserve">and heralded a new acceptance of physical child abuse.  Henry Kempe, a Paediatrician, had observed a high number of children admitted to his practice with unexplained injuries.  He set out with colleagues to survey hospitals and law enforcement agencies to determine the extent of the abuse.  Out of the </w:t>
      </w:r>
      <w:r w:rsidR="00ED3A31" w:rsidRPr="003D2718">
        <w:rPr>
          <w:rFonts w:ascii="Maiandra GD" w:hAnsi="Maiandra GD"/>
          <w:szCs w:val="24"/>
        </w:rPr>
        <w:t>71</w:t>
      </w:r>
      <w:r w:rsidR="00E75A8C" w:rsidRPr="003D2718">
        <w:rPr>
          <w:rFonts w:ascii="Maiandra GD" w:hAnsi="Maiandra GD"/>
          <w:szCs w:val="24"/>
        </w:rPr>
        <w:t xml:space="preserve"> hospitals who responded, </w:t>
      </w:r>
      <w:r w:rsidR="00ED3A31" w:rsidRPr="003D2718">
        <w:rPr>
          <w:rFonts w:ascii="Maiandra GD" w:hAnsi="Maiandra GD"/>
          <w:szCs w:val="24"/>
        </w:rPr>
        <w:t xml:space="preserve">302 </w:t>
      </w:r>
      <w:r w:rsidR="00E75A8C" w:rsidRPr="003D2718">
        <w:rPr>
          <w:rFonts w:ascii="Maiandra GD" w:hAnsi="Maiandra GD"/>
          <w:szCs w:val="24"/>
        </w:rPr>
        <w:t>instances of abuse were reported.</w:t>
      </w:r>
    </w:p>
    <w:p w14:paraId="364F5FD7" w14:textId="31053A96" w:rsidR="00E75A8C" w:rsidRPr="003D2718" w:rsidRDefault="00E75A8C" w:rsidP="00B87A31">
      <w:pPr>
        <w:pStyle w:val="ParaLevel1"/>
        <w:numPr>
          <w:ilvl w:val="0"/>
          <w:numId w:val="0"/>
        </w:numPr>
        <w:spacing w:line="360" w:lineRule="auto"/>
        <w:rPr>
          <w:rFonts w:ascii="Maiandra GD" w:hAnsi="Maiandra GD"/>
          <w:szCs w:val="24"/>
        </w:rPr>
      </w:pPr>
      <w:r w:rsidRPr="003D2718">
        <w:rPr>
          <w:rFonts w:ascii="Maiandra GD" w:hAnsi="Maiandra GD"/>
          <w:szCs w:val="24"/>
        </w:rPr>
        <w:t>In reporting their findings, Kempe and his team noted that parents were reluctant to provide information, whilst physicians struggled to believe that parents could have attacked their children and</w:t>
      </w:r>
      <w:r w:rsidR="00C74B22">
        <w:rPr>
          <w:rFonts w:ascii="Maiandra GD" w:hAnsi="Maiandra GD"/>
          <w:szCs w:val="24"/>
        </w:rPr>
        <w:t xml:space="preserve"> had</w:t>
      </w:r>
      <w:r w:rsidRPr="003D2718">
        <w:rPr>
          <w:rFonts w:ascii="Maiandra GD" w:hAnsi="Maiandra GD"/>
          <w:szCs w:val="24"/>
        </w:rPr>
        <w:t xml:space="preserve"> thus failed to question the parents adequately.  As a result,</w:t>
      </w:r>
      <w:r w:rsidR="00C74B22">
        <w:rPr>
          <w:rFonts w:ascii="Maiandra GD" w:hAnsi="Maiandra GD"/>
          <w:szCs w:val="24"/>
        </w:rPr>
        <w:t xml:space="preserve"> the</w:t>
      </w:r>
      <w:r w:rsidRPr="003D2718">
        <w:rPr>
          <w:rFonts w:ascii="Maiandra GD" w:hAnsi="Maiandra GD"/>
          <w:szCs w:val="24"/>
        </w:rPr>
        <w:t xml:space="preserve"> instance </w:t>
      </w:r>
      <w:r w:rsidR="00ED3A31" w:rsidRPr="003D2718">
        <w:rPr>
          <w:rFonts w:ascii="Maiandra GD" w:hAnsi="Maiandra GD"/>
          <w:szCs w:val="24"/>
        </w:rPr>
        <w:t xml:space="preserve">of abuse </w:t>
      </w:r>
      <w:r w:rsidRPr="003D2718">
        <w:rPr>
          <w:rFonts w:ascii="Maiandra GD" w:hAnsi="Maiandra GD"/>
          <w:szCs w:val="24"/>
        </w:rPr>
        <w:t xml:space="preserve">may have been far higher.  In addition, and marking a shift from previous thinking, they found the beating of children was not restricted to those with a psychopathic personality or of borderline socio-economic </w:t>
      </w:r>
      <w:r w:rsidR="00ED3A31" w:rsidRPr="003D2718">
        <w:rPr>
          <w:rFonts w:ascii="Maiandra GD" w:hAnsi="Maiandra GD"/>
          <w:szCs w:val="24"/>
        </w:rPr>
        <w:t>status</w:t>
      </w:r>
      <w:r w:rsidRPr="003D2718">
        <w:rPr>
          <w:rFonts w:ascii="Maiandra GD" w:hAnsi="Maiandra GD"/>
          <w:szCs w:val="24"/>
        </w:rPr>
        <w:t>, but it also occurred amongst people with good education and with a stable financial and social background.</w:t>
      </w:r>
    </w:p>
    <w:p w14:paraId="1E1C7999" w14:textId="3B432EB6" w:rsidR="00E75A8C" w:rsidRPr="003D2718" w:rsidRDefault="00E75A8C" w:rsidP="00B87A31">
      <w:pPr>
        <w:pStyle w:val="ParaLevel1"/>
        <w:numPr>
          <w:ilvl w:val="0"/>
          <w:numId w:val="0"/>
        </w:numPr>
        <w:spacing w:line="360" w:lineRule="auto"/>
        <w:rPr>
          <w:rFonts w:ascii="Maiandra GD" w:hAnsi="Maiandra GD"/>
          <w:szCs w:val="24"/>
        </w:rPr>
      </w:pPr>
      <w:r w:rsidRPr="003D2718">
        <w:rPr>
          <w:rFonts w:ascii="Maiandra GD" w:hAnsi="Maiandra GD"/>
          <w:szCs w:val="24"/>
        </w:rPr>
        <w:t>All that I have just described thus far was taking place across the Atlantic.  It was, however, being closely followed in Britain.  The UK NSPCC</w:t>
      </w:r>
      <w:r w:rsidR="004B1C77">
        <w:rPr>
          <w:rFonts w:ascii="Maiandra GD" w:hAnsi="Maiandra GD"/>
          <w:szCs w:val="24"/>
        </w:rPr>
        <w:t xml:space="preserve"> </w:t>
      </w:r>
      <w:r w:rsidRPr="003D2718">
        <w:rPr>
          <w:rFonts w:ascii="Maiandra GD" w:hAnsi="Maiandra GD"/>
          <w:szCs w:val="24"/>
        </w:rPr>
        <w:t>prominently published Kempe’s findings and he himself spent a year in the UK in 1969/70.</w:t>
      </w:r>
    </w:p>
    <w:p w14:paraId="4571A8CA" w14:textId="77777777" w:rsidR="00E75A8C" w:rsidRPr="003D2718" w:rsidRDefault="00E75A8C" w:rsidP="00B87A31">
      <w:pPr>
        <w:pStyle w:val="ParaLevel1"/>
        <w:numPr>
          <w:ilvl w:val="0"/>
          <w:numId w:val="0"/>
        </w:numPr>
        <w:spacing w:line="360" w:lineRule="auto"/>
        <w:rPr>
          <w:rFonts w:ascii="Maiandra GD" w:hAnsi="Maiandra GD"/>
          <w:szCs w:val="24"/>
        </w:rPr>
      </w:pPr>
      <w:r w:rsidRPr="003D2718">
        <w:rPr>
          <w:rFonts w:ascii="Maiandra GD" w:hAnsi="Maiandra GD"/>
          <w:szCs w:val="24"/>
        </w:rPr>
        <w:t>Just as with the case of Mary Ellen Wilson</w:t>
      </w:r>
      <w:r w:rsidR="00AE01F5" w:rsidRPr="003D2718">
        <w:rPr>
          <w:rFonts w:ascii="Maiandra GD" w:hAnsi="Maiandra GD"/>
          <w:szCs w:val="24"/>
        </w:rPr>
        <w:t xml:space="preserve"> a hundred years earlier, the next leap forward in public awareness occurred as a result of the appalling treatment of a particular child.  </w:t>
      </w:r>
      <w:r w:rsidR="00AE01F5" w:rsidRPr="003D2718">
        <w:rPr>
          <w:rFonts w:ascii="Maiandra GD" w:hAnsi="Maiandra GD"/>
          <w:szCs w:val="24"/>
        </w:rPr>
        <w:lastRenderedPageBreak/>
        <w:t xml:space="preserve">Indeed, as this talk will demonstrate, almost every significant development has occurred in direct response to a particular incident or episode.  The event of which I now speak was the death of Maria Colwell in 1973.  </w:t>
      </w:r>
    </w:p>
    <w:p w14:paraId="34652ECA" w14:textId="77777777" w:rsidR="00AE01F5" w:rsidRPr="003D2718" w:rsidRDefault="00AE01F5" w:rsidP="00B87A31">
      <w:pPr>
        <w:pStyle w:val="ParaLevel1"/>
        <w:numPr>
          <w:ilvl w:val="0"/>
          <w:numId w:val="0"/>
        </w:numPr>
        <w:spacing w:line="360" w:lineRule="auto"/>
        <w:rPr>
          <w:rFonts w:ascii="Maiandra GD" w:hAnsi="Maiandra GD"/>
          <w:szCs w:val="24"/>
        </w:rPr>
      </w:pPr>
      <w:r w:rsidRPr="003D2718">
        <w:rPr>
          <w:rFonts w:ascii="Maiandra GD" w:hAnsi="Maiandra GD"/>
          <w:szCs w:val="24"/>
        </w:rPr>
        <w:t>Maria Colwell was seven years old when she was killed by her stepfather, having been beaten and starved.  Maria had been fostered by her aunt and uncle but returned to her mother under the supervision of the local authority.  Fifty official visits had been made to the family from social workers, health visitors, police and housing officers, but, as the official inquiry into her death demonstrated, a lack of training and communication between the agencies and the individual workers led to a failure amongst the professionals to identify and understand what was going on until it was, appallingly, too late.</w:t>
      </w:r>
    </w:p>
    <w:p w14:paraId="28C0DA52" w14:textId="77777777" w:rsidR="00AE01F5" w:rsidRPr="003D2718" w:rsidRDefault="00AE01F5" w:rsidP="00B87A31">
      <w:pPr>
        <w:pStyle w:val="ParaLevel1"/>
        <w:numPr>
          <w:ilvl w:val="0"/>
          <w:numId w:val="0"/>
        </w:numPr>
        <w:spacing w:line="360" w:lineRule="auto"/>
        <w:rPr>
          <w:rFonts w:ascii="Maiandra GD" w:hAnsi="Maiandra GD"/>
          <w:szCs w:val="24"/>
        </w:rPr>
      </w:pPr>
      <w:r w:rsidRPr="003D2718">
        <w:rPr>
          <w:rFonts w:ascii="Maiandra GD" w:hAnsi="Maiandra GD"/>
          <w:szCs w:val="24"/>
        </w:rPr>
        <w:t>In contrast to earlier times, child abuse was no longer seen as a consequence of poverty, but increasingly, as a social problem.</w:t>
      </w:r>
    </w:p>
    <w:p w14:paraId="09843497" w14:textId="23930126" w:rsidR="00AE01F5" w:rsidRPr="003D2718" w:rsidRDefault="00AE01F5" w:rsidP="00B87A31">
      <w:pPr>
        <w:pStyle w:val="ParaLevel1"/>
        <w:numPr>
          <w:ilvl w:val="0"/>
          <w:numId w:val="0"/>
        </w:numPr>
        <w:spacing w:line="360" w:lineRule="auto"/>
        <w:rPr>
          <w:rFonts w:ascii="Maiandra GD" w:hAnsi="Maiandra GD"/>
          <w:szCs w:val="24"/>
        </w:rPr>
      </w:pPr>
      <w:r w:rsidRPr="003D2718">
        <w:rPr>
          <w:rFonts w:ascii="Maiandra GD" w:hAnsi="Maiandra GD"/>
          <w:szCs w:val="24"/>
        </w:rPr>
        <w:t xml:space="preserve">Cases such as that of Maria Colwell, and the work of Kempe and his team, swiftly lifted the scales from the eyes of the medical and other professionals and the concept of ‘Unexplained Infant Trauma Syndrome’ evaporated.  From now on, where a child was found to have significant injuries, it was accepted that the cause must be trauma and the primary purpose for the investigators was to identify </w:t>
      </w:r>
      <w:r w:rsidR="000C2D2F" w:rsidRPr="003D2718">
        <w:rPr>
          <w:rFonts w:ascii="Maiandra GD" w:hAnsi="Maiandra GD"/>
          <w:szCs w:val="24"/>
        </w:rPr>
        <w:t>the traumatic mechanism</w:t>
      </w:r>
      <w:r w:rsidR="004B1C77">
        <w:rPr>
          <w:rFonts w:ascii="Maiandra GD" w:hAnsi="Maiandra GD"/>
          <w:szCs w:val="24"/>
        </w:rPr>
        <w:t xml:space="preserve"> and</w:t>
      </w:r>
      <w:r w:rsidR="000C2D2F" w:rsidRPr="003D2718">
        <w:rPr>
          <w:rFonts w:ascii="Maiandra GD" w:hAnsi="Maiandra GD"/>
          <w:szCs w:val="24"/>
        </w:rPr>
        <w:t xml:space="preserve"> </w:t>
      </w:r>
      <w:r w:rsidRPr="003D2718">
        <w:rPr>
          <w:rFonts w:ascii="Maiandra GD" w:hAnsi="Maiandra GD"/>
          <w:szCs w:val="24"/>
        </w:rPr>
        <w:t xml:space="preserve">the perpetrator or perpetrators.  The concept of a parental right to treat one’s child as one wished and the </w:t>
      </w:r>
      <w:r w:rsidR="004B1C77" w:rsidRPr="003D2718">
        <w:rPr>
          <w:rFonts w:ascii="Maiandra GD" w:hAnsi="Maiandra GD"/>
          <w:szCs w:val="24"/>
        </w:rPr>
        <w:t>long-held</w:t>
      </w:r>
      <w:r w:rsidRPr="003D2718">
        <w:rPr>
          <w:rFonts w:ascii="Maiandra GD" w:hAnsi="Maiandra GD"/>
          <w:szCs w:val="24"/>
        </w:rPr>
        <w:t xml:space="preserve"> assumption that no parent would actively cause physical harm to their child no longer held sway.</w:t>
      </w:r>
    </w:p>
    <w:p w14:paraId="19ACEFF3" w14:textId="77777777" w:rsidR="00EC5001" w:rsidRPr="003D2718" w:rsidRDefault="00EC5001" w:rsidP="00B87A31">
      <w:pPr>
        <w:pStyle w:val="ParaLevel1"/>
        <w:numPr>
          <w:ilvl w:val="0"/>
          <w:numId w:val="0"/>
        </w:numPr>
        <w:spacing w:line="360" w:lineRule="auto"/>
        <w:rPr>
          <w:rFonts w:ascii="Maiandra GD" w:hAnsi="Maiandra GD"/>
          <w:b/>
          <w:szCs w:val="24"/>
          <w:u w:val="single"/>
        </w:rPr>
      </w:pPr>
    </w:p>
    <w:p w14:paraId="66128AEA" w14:textId="655C1C0C" w:rsidR="00760292" w:rsidRPr="003D2718" w:rsidRDefault="00EC5001" w:rsidP="00B87A31">
      <w:pPr>
        <w:pStyle w:val="ParaLevel1"/>
        <w:numPr>
          <w:ilvl w:val="0"/>
          <w:numId w:val="0"/>
        </w:numPr>
        <w:spacing w:line="360" w:lineRule="auto"/>
        <w:rPr>
          <w:rFonts w:ascii="Maiandra GD" w:hAnsi="Maiandra GD"/>
          <w:b/>
          <w:szCs w:val="24"/>
          <w:u w:val="single"/>
        </w:rPr>
      </w:pPr>
      <w:r w:rsidRPr="003D2718">
        <w:rPr>
          <w:rFonts w:ascii="Maiandra GD" w:hAnsi="Maiandra GD"/>
          <w:b/>
          <w:szCs w:val="24"/>
          <w:u w:val="single"/>
        </w:rPr>
        <w:t>Sexual abuse in the 1970s and 80s</w:t>
      </w:r>
    </w:p>
    <w:p w14:paraId="6A7D5614" w14:textId="40E9F025" w:rsidR="00EC5001" w:rsidRPr="003D2718" w:rsidRDefault="00EC5001" w:rsidP="00B87A31">
      <w:pPr>
        <w:pStyle w:val="ParaLevel1"/>
        <w:numPr>
          <w:ilvl w:val="0"/>
          <w:numId w:val="0"/>
        </w:numPr>
        <w:spacing w:line="360" w:lineRule="auto"/>
        <w:rPr>
          <w:rFonts w:ascii="Maiandra GD" w:hAnsi="Maiandra GD"/>
          <w:szCs w:val="24"/>
        </w:rPr>
      </w:pPr>
      <w:r w:rsidRPr="003D2718">
        <w:rPr>
          <w:rFonts w:ascii="Maiandra GD" w:hAnsi="Maiandra GD"/>
          <w:szCs w:val="24"/>
        </w:rPr>
        <w:t xml:space="preserve">The taboo surrounding child sexual abuse took longer to break than that relating to physical abuse.  Whilst the criminal law targeted ‘incest’ or </w:t>
      </w:r>
      <w:r w:rsidR="000C2D2F" w:rsidRPr="003D2718">
        <w:rPr>
          <w:rFonts w:ascii="Maiandra GD" w:hAnsi="Maiandra GD"/>
          <w:szCs w:val="24"/>
        </w:rPr>
        <w:t xml:space="preserve">sexual </w:t>
      </w:r>
      <w:r w:rsidRPr="003D2718">
        <w:rPr>
          <w:rFonts w:ascii="Maiandra GD" w:hAnsi="Maiandra GD"/>
          <w:szCs w:val="24"/>
        </w:rPr>
        <w:t xml:space="preserve">‘assault’, convictions were comparatively low as cases were difficult to prove.  </w:t>
      </w:r>
      <w:r w:rsidR="000C2D2F" w:rsidRPr="003D2718">
        <w:rPr>
          <w:rFonts w:ascii="Maiandra GD" w:hAnsi="Maiandra GD"/>
          <w:szCs w:val="24"/>
        </w:rPr>
        <w:t xml:space="preserve">Although </w:t>
      </w:r>
      <w:r w:rsidRPr="003D2718">
        <w:rPr>
          <w:rFonts w:ascii="Maiandra GD" w:hAnsi="Maiandra GD"/>
          <w:szCs w:val="24"/>
        </w:rPr>
        <w:t xml:space="preserve">there was some undercurrent of awareness of issues of child sexual abuse promoted by feminist and other campaigners, it was not until the 1970s (in the USA) and the 1980s (in Britain) that child sexual abuse was recognised as a serious problem for the first time.  Prior to </w:t>
      </w:r>
      <w:r w:rsidRPr="003D2718">
        <w:rPr>
          <w:rFonts w:ascii="Maiandra GD" w:hAnsi="Maiandra GD"/>
          <w:szCs w:val="24"/>
        </w:rPr>
        <w:lastRenderedPageBreak/>
        <w:t>that, it would seem that those children who complained of sexual abuse were frequently marginalised or ignored.  Following a review of pre-1970 literature Myers highlighted four common themes</w:t>
      </w:r>
      <w:r w:rsidR="0092315F">
        <w:rPr>
          <w:rStyle w:val="FootnoteReference"/>
          <w:rFonts w:ascii="Maiandra GD" w:hAnsi="Maiandra GD"/>
          <w:szCs w:val="24"/>
        </w:rPr>
        <w:footnoteReference w:id="4"/>
      </w:r>
      <w:r w:rsidRPr="003D2718">
        <w:rPr>
          <w:rFonts w:ascii="Maiandra GD" w:hAnsi="Maiandra GD"/>
          <w:szCs w:val="24"/>
        </w:rPr>
        <w:t xml:space="preserve">: </w:t>
      </w:r>
    </w:p>
    <w:p w14:paraId="6874D09F" w14:textId="1E23F170" w:rsidR="00EC5001" w:rsidRPr="003D2718" w:rsidRDefault="00EC5001" w:rsidP="00B87A31">
      <w:pPr>
        <w:pStyle w:val="Quote"/>
        <w:spacing w:line="360" w:lineRule="auto"/>
        <w:rPr>
          <w:rFonts w:ascii="Maiandra GD" w:hAnsi="Maiandra GD"/>
          <w:szCs w:val="24"/>
        </w:rPr>
      </w:pPr>
      <w:r w:rsidRPr="003D2718">
        <w:rPr>
          <w:rFonts w:ascii="Maiandra GD" w:hAnsi="Maiandra GD"/>
          <w:szCs w:val="24"/>
        </w:rPr>
        <w:tab/>
        <w:t>“1) Children are responsible for their own molestation.</w:t>
      </w:r>
    </w:p>
    <w:p w14:paraId="63F20890" w14:textId="450C0375" w:rsidR="00EC5001" w:rsidRPr="003D2718" w:rsidRDefault="00EC5001" w:rsidP="00B87A31">
      <w:pPr>
        <w:pStyle w:val="Quote"/>
        <w:spacing w:line="360" w:lineRule="auto"/>
        <w:rPr>
          <w:rFonts w:ascii="Maiandra GD" w:hAnsi="Maiandra GD"/>
          <w:szCs w:val="24"/>
        </w:rPr>
      </w:pPr>
      <w:r w:rsidRPr="003D2718">
        <w:rPr>
          <w:rFonts w:ascii="Maiandra GD" w:hAnsi="Maiandra GD"/>
          <w:szCs w:val="24"/>
        </w:rPr>
        <w:tab/>
        <w:t>2) Mothers are to blame.</w:t>
      </w:r>
    </w:p>
    <w:p w14:paraId="78ED766B" w14:textId="3CA19FC7" w:rsidR="00EC5001" w:rsidRPr="003D2718" w:rsidRDefault="00EC5001" w:rsidP="00B87A31">
      <w:pPr>
        <w:pStyle w:val="ParaLevel1"/>
        <w:numPr>
          <w:ilvl w:val="0"/>
          <w:numId w:val="0"/>
        </w:numPr>
        <w:spacing w:line="360" w:lineRule="auto"/>
        <w:ind w:left="1701"/>
        <w:rPr>
          <w:rFonts w:ascii="Maiandra GD" w:hAnsi="Maiandra GD"/>
          <w:szCs w:val="24"/>
        </w:rPr>
      </w:pPr>
      <w:r w:rsidRPr="003D2718">
        <w:rPr>
          <w:rFonts w:ascii="Maiandra GD" w:hAnsi="Maiandra GD"/>
          <w:szCs w:val="24"/>
        </w:rPr>
        <w:t>3) Child sexual abuse is rare.</w:t>
      </w:r>
    </w:p>
    <w:p w14:paraId="790BE1B2" w14:textId="4D5986FF" w:rsidR="00EC5001" w:rsidRPr="003D2718" w:rsidRDefault="00EC5001" w:rsidP="00B87A31">
      <w:pPr>
        <w:pStyle w:val="ParaLevel1"/>
        <w:numPr>
          <w:ilvl w:val="0"/>
          <w:numId w:val="0"/>
        </w:numPr>
        <w:spacing w:line="360" w:lineRule="auto"/>
        <w:ind w:left="1701"/>
        <w:rPr>
          <w:rFonts w:ascii="Maiandra GD" w:hAnsi="Maiandra GD"/>
          <w:szCs w:val="24"/>
        </w:rPr>
      </w:pPr>
      <w:r w:rsidRPr="003D2718">
        <w:rPr>
          <w:rFonts w:ascii="Maiandra GD" w:hAnsi="Maiandra GD"/>
          <w:szCs w:val="24"/>
        </w:rPr>
        <w:t xml:space="preserve">4) Sexual abuse does little harm”.  </w:t>
      </w:r>
    </w:p>
    <w:p w14:paraId="610CFFEB" w14:textId="605E70DB" w:rsidR="00A547E7" w:rsidRDefault="00A547E7" w:rsidP="00B87A31">
      <w:pPr>
        <w:pStyle w:val="ParaLevel1"/>
        <w:numPr>
          <w:ilvl w:val="0"/>
          <w:numId w:val="0"/>
        </w:numPr>
        <w:spacing w:line="360" w:lineRule="auto"/>
        <w:rPr>
          <w:rFonts w:ascii="Maiandra GD" w:hAnsi="Maiandra GD"/>
          <w:szCs w:val="24"/>
        </w:rPr>
      </w:pPr>
      <w:r>
        <w:rPr>
          <w:rFonts w:ascii="Maiandra GD" w:hAnsi="Maiandra GD"/>
          <w:szCs w:val="24"/>
        </w:rPr>
        <w:t>Such statements, made only a few decades ago</w:t>
      </w:r>
      <w:r w:rsidR="00394BCB">
        <w:rPr>
          <w:rFonts w:ascii="Maiandra GD" w:hAnsi="Maiandra GD"/>
          <w:szCs w:val="24"/>
        </w:rPr>
        <w:t>,</w:t>
      </w:r>
      <w:r>
        <w:rPr>
          <w:rFonts w:ascii="Maiandra GD" w:hAnsi="Maiandra GD"/>
          <w:szCs w:val="24"/>
        </w:rPr>
        <w:t xml:space="preserve"> underline my central theme more than any other words in this lecture. They are wholly astonishing to our eyes in 20</w:t>
      </w:r>
      <w:r w:rsidR="00394BCB">
        <w:rPr>
          <w:rFonts w:ascii="Maiandra GD" w:hAnsi="Maiandra GD"/>
          <w:szCs w:val="24"/>
        </w:rPr>
        <w:t>19 yet were apparently the received wisdom in their own time.</w:t>
      </w:r>
    </w:p>
    <w:p w14:paraId="4466E8D3" w14:textId="221C6943" w:rsidR="00852E21" w:rsidRPr="003D2718" w:rsidRDefault="00EC5001" w:rsidP="00B87A31">
      <w:pPr>
        <w:pStyle w:val="ParaLevel1"/>
        <w:numPr>
          <w:ilvl w:val="0"/>
          <w:numId w:val="0"/>
        </w:numPr>
        <w:spacing w:line="360" w:lineRule="auto"/>
        <w:rPr>
          <w:rFonts w:ascii="Maiandra GD" w:hAnsi="Maiandra GD"/>
          <w:szCs w:val="24"/>
        </w:rPr>
      </w:pPr>
      <w:r w:rsidRPr="003D2718">
        <w:rPr>
          <w:rFonts w:ascii="Maiandra GD" w:hAnsi="Maiandra GD"/>
          <w:szCs w:val="24"/>
        </w:rPr>
        <w:t>The late 1970s and early 80s saw an explosion of interest following detailed research, mainly in America</w:t>
      </w:r>
      <w:r w:rsidR="00394BCB">
        <w:rPr>
          <w:rFonts w:ascii="Maiandra GD" w:hAnsi="Maiandra GD"/>
          <w:szCs w:val="24"/>
        </w:rPr>
        <w:t>,</w:t>
      </w:r>
      <w:r w:rsidRPr="003D2718">
        <w:rPr>
          <w:rFonts w:ascii="Maiandra GD" w:hAnsi="Maiandra GD"/>
          <w:szCs w:val="24"/>
        </w:rPr>
        <w:t xml:space="preserve"> in which ordinary members of the public were interviewed and a significant proportion volunteered that they had experienced sexual abuse during their childhood.  In 1979 a researcher, David Finkelhor</w:t>
      </w:r>
      <w:r w:rsidR="0092315F">
        <w:rPr>
          <w:rFonts w:ascii="Maiandra GD" w:hAnsi="Maiandra GD"/>
          <w:szCs w:val="24"/>
        </w:rPr>
        <w:t>,</w:t>
      </w:r>
      <w:r w:rsidRPr="003D2718">
        <w:rPr>
          <w:rFonts w:ascii="Maiandra GD" w:hAnsi="Maiandra GD"/>
          <w:szCs w:val="24"/>
        </w:rPr>
        <w:t xml:space="preserve"> wrote ‘child protection workers from all over the country say they are inundated with cases of </w:t>
      </w:r>
      <w:r w:rsidR="00852E21" w:rsidRPr="003D2718">
        <w:rPr>
          <w:rFonts w:ascii="Maiandra GD" w:hAnsi="Maiandra GD"/>
          <w:szCs w:val="24"/>
        </w:rPr>
        <w:t>sexual abuse… Public outrage, which has for several years focused on stories of bruised and tortured children, is shifting to a concern with sexual exploitation.  Between 1977 and 1978 almost every national magazine had run a story highlighting the horrors of children’s sexual abuse.</w:t>
      </w:r>
      <w:r w:rsidR="0092315F">
        <w:rPr>
          <w:rStyle w:val="FootnoteReference"/>
          <w:rFonts w:ascii="Maiandra GD" w:hAnsi="Maiandra GD"/>
          <w:szCs w:val="24"/>
        </w:rPr>
        <w:footnoteReference w:id="5"/>
      </w:r>
      <w:r w:rsidR="00852E21" w:rsidRPr="003D2718">
        <w:rPr>
          <w:rFonts w:ascii="Maiandra GD" w:hAnsi="Maiandra GD"/>
          <w:szCs w:val="24"/>
        </w:rPr>
        <w:t xml:space="preserve">’ </w:t>
      </w:r>
    </w:p>
    <w:p w14:paraId="2FEDCD9C" w14:textId="5F1DBA9C" w:rsidR="00852E21" w:rsidRPr="003D2718" w:rsidRDefault="00852E21" w:rsidP="00B87A31">
      <w:pPr>
        <w:pStyle w:val="ParaLevel1"/>
        <w:numPr>
          <w:ilvl w:val="0"/>
          <w:numId w:val="0"/>
        </w:numPr>
        <w:spacing w:line="360" w:lineRule="auto"/>
        <w:rPr>
          <w:rFonts w:ascii="Maiandra GD" w:hAnsi="Maiandra GD"/>
          <w:szCs w:val="24"/>
        </w:rPr>
      </w:pPr>
      <w:r w:rsidRPr="003D2718">
        <w:rPr>
          <w:rFonts w:ascii="Maiandra GD" w:hAnsi="Maiandra GD"/>
          <w:szCs w:val="24"/>
        </w:rPr>
        <w:t>This explosion of interest in and awareness of potential child sexual abuse inevitably led to professionals having to develop their own understanding of the intricacies of the subject, and their own strategies for the investigation and evaluation of any evidence.  This was new territory.  Almost inevitabl</w:t>
      </w:r>
      <w:r w:rsidR="00E95D82">
        <w:rPr>
          <w:rFonts w:ascii="Maiandra GD" w:hAnsi="Maiandra GD"/>
          <w:szCs w:val="24"/>
        </w:rPr>
        <w:t>y</w:t>
      </w:r>
      <w:r w:rsidRPr="003D2718">
        <w:rPr>
          <w:rFonts w:ascii="Maiandra GD" w:hAnsi="Maiandra GD"/>
          <w:szCs w:val="24"/>
        </w:rPr>
        <w:t xml:space="preserve"> some initial practices and methods of intervention missed their target</w:t>
      </w:r>
      <w:r w:rsidR="000C2D2F" w:rsidRPr="003D2718">
        <w:rPr>
          <w:rFonts w:ascii="Maiandra GD" w:hAnsi="Maiandra GD"/>
          <w:szCs w:val="24"/>
        </w:rPr>
        <w:t xml:space="preserve">. </w:t>
      </w:r>
      <w:r w:rsidRPr="003D2718">
        <w:rPr>
          <w:rFonts w:ascii="Maiandra GD" w:hAnsi="Maiandra GD"/>
          <w:szCs w:val="24"/>
        </w:rPr>
        <w:t xml:space="preserve"> </w:t>
      </w:r>
      <w:r w:rsidR="000C2D2F" w:rsidRPr="003D2718">
        <w:rPr>
          <w:rFonts w:ascii="Maiandra GD" w:hAnsi="Maiandra GD"/>
          <w:szCs w:val="24"/>
        </w:rPr>
        <w:t>A</w:t>
      </w:r>
      <w:r w:rsidRPr="003D2718">
        <w:rPr>
          <w:rFonts w:ascii="Maiandra GD" w:hAnsi="Maiandra GD"/>
          <w:szCs w:val="24"/>
        </w:rPr>
        <w:t xml:space="preserve">s with many areas of family law over recent decades, a sudden increase in interest causes a pendulum to swing and, at times, the swing may travel too far </w:t>
      </w:r>
      <w:r w:rsidR="000C2D2F" w:rsidRPr="003D2718">
        <w:rPr>
          <w:rFonts w:ascii="Maiandra GD" w:hAnsi="Maiandra GD"/>
          <w:szCs w:val="24"/>
        </w:rPr>
        <w:t xml:space="preserve">in one direction </w:t>
      </w:r>
      <w:r w:rsidRPr="003D2718">
        <w:rPr>
          <w:rFonts w:ascii="Maiandra GD" w:hAnsi="Maiandra GD"/>
          <w:szCs w:val="24"/>
        </w:rPr>
        <w:t>and require correction.</w:t>
      </w:r>
    </w:p>
    <w:p w14:paraId="31FB85B9" w14:textId="36FEF1CD" w:rsidR="00EC5001" w:rsidRPr="003D2718" w:rsidRDefault="00852E21" w:rsidP="00B87A31">
      <w:pPr>
        <w:pStyle w:val="ParaLevel1"/>
        <w:numPr>
          <w:ilvl w:val="0"/>
          <w:numId w:val="0"/>
        </w:numPr>
        <w:spacing w:line="360" w:lineRule="auto"/>
        <w:rPr>
          <w:rFonts w:ascii="Maiandra GD" w:hAnsi="Maiandra GD"/>
          <w:szCs w:val="24"/>
        </w:rPr>
      </w:pPr>
      <w:r w:rsidRPr="003D2718">
        <w:rPr>
          <w:rFonts w:ascii="Maiandra GD" w:hAnsi="Maiandra GD"/>
          <w:szCs w:val="24"/>
        </w:rPr>
        <w:lastRenderedPageBreak/>
        <w:t>This was so, in relation to child sexual abuse.  Sexual activity with a child can, of course, take place without leaving any physical sign of injury on the victim.  Where, however, potential signs could be identified, the medical profession was required to develop, at some speed, an understanding of those physical manifestations which might be regarded as ‘normal’ and those which were indicative of, or compatible with, sexual abuse.  In ordinary life, an innocent infection in the genital area or constipation can produce symptoms which in other circumstances might mirror the consequences of abuse.  These subtle signs required expert interpretation.  In addition, the very act of examining the child had the potential, itself, to be traumatic and occasions for examination, and the length of examination</w:t>
      </w:r>
      <w:r w:rsidR="00394BCB">
        <w:rPr>
          <w:rFonts w:ascii="Maiandra GD" w:hAnsi="Maiandra GD"/>
          <w:szCs w:val="24"/>
        </w:rPr>
        <w:t>,</w:t>
      </w:r>
      <w:r w:rsidRPr="003D2718">
        <w:rPr>
          <w:rFonts w:ascii="Maiandra GD" w:hAnsi="Maiandra GD"/>
          <w:szCs w:val="24"/>
        </w:rPr>
        <w:t xml:space="preserve"> were kept </w:t>
      </w:r>
      <w:r w:rsidR="000C2D2F" w:rsidRPr="003D2718">
        <w:rPr>
          <w:rFonts w:ascii="Maiandra GD" w:hAnsi="Maiandra GD"/>
          <w:szCs w:val="24"/>
        </w:rPr>
        <w:t xml:space="preserve">to </w:t>
      </w:r>
      <w:r w:rsidRPr="003D2718">
        <w:rPr>
          <w:rFonts w:ascii="Maiandra GD" w:hAnsi="Maiandra GD"/>
          <w:szCs w:val="24"/>
        </w:rPr>
        <w:t>a minimum.</w:t>
      </w:r>
    </w:p>
    <w:p w14:paraId="2CA74198" w14:textId="1137378B" w:rsidR="000C2D2F" w:rsidRPr="003D2718" w:rsidRDefault="00852E21" w:rsidP="00B87A31">
      <w:pPr>
        <w:pStyle w:val="ParaLevel1"/>
        <w:numPr>
          <w:ilvl w:val="0"/>
          <w:numId w:val="0"/>
        </w:numPr>
        <w:spacing w:line="360" w:lineRule="auto"/>
        <w:rPr>
          <w:rFonts w:ascii="Maiandra GD" w:hAnsi="Maiandra GD"/>
          <w:szCs w:val="24"/>
        </w:rPr>
      </w:pPr>
      <w:r w:rsidRPr="003D2718">
        <w:rPr>
          <w:rFonts w:ascii="Maiandra GD" w:hAnsi="Maiandra GD"/>
          <w:szCs w:val="24"/>
        </w:rPr>
        <w:t>As a physical example of the degree to which the understanding of these subtle matters has developed amo</w:t>
      </w:r>
      <w:r w:rsidR="00E1516F" w:rsidRPr="003D2718">
        <w:rPr>
          <w:rFonts w:ascii="Maiandra GD" w:hAnsi="Maiandra GD"/>
          <w:szCs w:val="24"/>
        </w:rPr>
        <w:t>ngst paediatricians over the past forty years</w:t>
      </w:r>
      <w:r w:rsidR="00394BCB">
        <w:rPr>
          <w:rFonts w:ascii="Maiandra GD" w:hAnsi="Maiandra GD"/>
          <w:szCs w:val="24"/>
        </w:rPr>
        <w:t>,</w:t>
      </w:r>
      <w:r w:rsidR="00E1516F" w:rsidRPr="003D2718">
        <w:rPr>
          <w:rFonts w:ascii="Maiandra GD" w:hAnsi="Maiandra GD"/>
          <w:szCs w:val="24"/>
        </w:rPr>
        <w:t xml:space="preserve"> one only has to look at the size of the relevant guidance.  In </w:t>
      </w:r>
      <w:r w:rsidR="004D38D6">
        <w:rPr>
          <w:rFonts w:ascii="Maiandra GD" w:hAnsi="Maiandra GD"/>
          <w:szCs w:val="24"/>
        </w:rPr>
        <w:t>1997</w:t>
      </w:r>
      <w:r w:rsidR="00E1516F" w:rsidRPr="003D2718">
        <w:rPr>
          <w:rFonts w:ascii="Maiandra GD" w:hAnsi="Maiandra GD"/>
          <w:szCs w:val="24"/>
        </w:rPr>
        <w:t xml:space="preserve"> The Royal College of </w:t>
      </w:r>
      <w:r w:rsidR="005467C3">
        <w:rPr>
          <w:rFonts w:ascii="Maiandra GD" w:hAnsi="Maiandra GD"/>
          <w:szCs w:val="24"/>
        </w:rPr>
        <w:t>Physicians</w:t>
      </w:r>
      <w:r w:rsidR="00E1516F" w:rsidRPr="003D2718">
        <w:rPr>
          <w:rFonts w:ascii="Maiandra GD" w:hAnsi="Maiandra GD"/>
          <w:szCs w:val="24"/>
        </w:rPr>
        <w:t xml:space="preserve"> issued the second edition </w:t>
      </w:r>
      <w:r w:rsidR="005467C3">
        <w:rPr>
          <w:rFonts w:ascii="Maiandra GD" w:hAnsi="Maiandra GD"/>
          <w:szCs w:val="24"/>
        </w:rPr>
        <w:t>‘Physical Signs of Sexual Abuse in Children</w:t>
      </w:r>
      <w:r w:rsidR="00E1516F" w:rsidRPr="003D2718">
        <w:rPr>
          <w:rFonts w:ascii="Maiandra GD" w:hAnsi="Maiandra GD"/>
          <w:szCs w:val="24"/>
        </w:rPr>
        <w:t xml:space="preserve">’.  The booklet is small.  It is printed in A5 and runs to some </w:t>
      </w:r>
      <w:r w:rsidR="005467C3">
        <w:rPr>
          <w:rFonts w:ascii="Maiandra GD" w:hAnsi="Maiandra GD"/>
          <w:szCs w:val="24"/>
        </w:rPr>
        <w:t>90</w:t>
      </w:r>
      <w:r w:rsidR="00E1516F" w:rsidRPr="003D2718">
        <w:rPr>
          <w:rFonts w:ascii="Maiandra GD" w:hAnsi="Maiandra GD"/>
          <w:szCs w:val="24"/>
        </w:rPr>
        <w:t xml:space="preserve"> pages.  </w:t>
      </w:r>
      <w:r w:rsidR="00A50183">
        <w:rPr>
          <w:rFonts w:ascii="Maiandra GD" w:hAnsi="Maiandra GD"/>
          <w:szCs w:val="24"/>
        </w:rPr>
        <w:t>In 201</w:t>
      </w:r>
      <w:r w:rsidR="00394BCB">
        <w:rPr>
          <w:rFonts w:ascii="Maiandra GD" w:hAnsi="Maiandra GD"/>
          <w:szCs w:val="24"/>
        </w:rPr>
        <w:t>5</w:t>
      </w:r>
      <w:r w:rsidR="00E1516F" w:rsidRPr="003D2718">
        <w:rPr>
          <w:rFonts w:ascii="Maiandra GD" w:hAnsi="Maiandra GD"/>
          <w:szCs w:val="24"/>
        </w:rPr>
        <w:t>, in cooperation with its sister organisation</w:t>
      </w:r>
      <w:r w:rsidR="00A50183">
        <w:rPr>
          <w:rFonts w:ascii="Maiandra GD" w:hAnsi="Maiandra GD"/>
          <w:szCs w:val="24"/>
        </w:rPr>
        <w:t>s</w:t>
      </w:r>
      <w:r w:rsidR="00E1516F" w:rsidRPr="003D2718">
        <w:rPr>
          <w:rFonts w:ascii="Maiandra GD" w:hAnsi="Maiandra GD"/>
          <w:szCs w:val="24"/>
        </w:rPr>
        <w:t xml:space="preserve"> in America, the</w:t>
      </w:r>
      <w:r w:rsidR="009142C9">
        <w:rPr>
          <w:rFonts w:ascii="Maiandra GD" w:hAnsi="Maiandra GD"/>
          <w:szCs w:val="24"/>
        </w:rPr>
        <w:t xml:space="preserve"> latest</w:t>
      </w:r>
      <w:r w:rsidR="00E1516F" w:rsidRPr="003D2718">
        <w:rPr>
          <w:rFonts w:ascii="Maiandra GD" w:hAnsi="Maiandra GD"/>
          <w:szCs w:val="24"/>
        </w:rPr>
        <w:t xml:space="preserve"> edition of that guide</w:t>
      </w:r>
      <w:r w:rsidR="00A50183">
        <w:rPr>
          <w:rFonts w:ascii="Maiandra GD" w:hAnsi="Maiandra GD"/>
          <w:szCs w:val="24"/>
        </w:rPr>
        <w:t xml:space="preserve"> was published</w:t>
      </w:r>
      <w:r w:rsidR="00E1516F" w:rsidRPr="003D2718">
        <w:rPr>
          <w:rFonts w:ascii="Maiandra GD" w:hAnsi="Maiandra GD"/>
          <w:szCs w:val="24"/>
        </w:rPr>
        <w:t xml:space="preserve">.  It is now in A4 format and runs to </w:t>
      </w:r>
      <w:r w:rsidR="009142C9">
        <w:rPr>
          <w:rFonts w:ascii="Maiandra GD" w:hAnsi="Maiandra GD"/>
          <w:szCs w:val="24"/>
        </w:rPr>
        <w:t>280</w:t>
      </w:r>
      <w:r w:rsidR="00E1516F" w:rsidRPr="003D2718">
        <w:rPr>
          <w:rFonts w:ascii="Maiandra GD" w:hAnsi="Maiandra GD"/>
          <w:szCs w:val="24"/>
        </w:rPr>
        <w:t xml:space="preserve"> pages.  </w:t>
      </w:r>
    </w:p>
    <w:p w14:paraId="1631D372" w14:textId="2B8BDF90" w:rsidR="00852E21" w:rsidRPr="003D2718" w:rsidRDefault="00E1516F" w:rsidP="00B87A31">
      <w:pPr>
        <w:pStyle w:val="ParaLevel1"/>
        <w:numPr>
          <w:ilvl w:val="0"/>
          <w:numId w:val="0"/>
        </w:numPr>
        <w:spacing w:line="360" w:lineRule="auto"/>
        <w:rPr>
          <w:rFonts w:ascii="Maiandra GD" w:hAnsi="Maiandra GD"/>
          <w:szCs w:val="24"/>
        </w:rPr>
      </w:pPr>
      <w:r w:rsidRPr="003D2718">
        <w:rPr>
          <w:rFonts w:ascii="Maiandra GD" w:hAnsi="Maiandra GD"/>
          <w:szCs w:val="24"/>
        </w:rPr>
        <w:t>In addition to the assessment of any physical signs of abuse, investigators were, naturally, interested in what a potential child victim had to say.  Here, as is well known, a carefully structured and calibrated scheme by which police officers and social workers might interview potential victims was rapidly developed under the umbrella title of ‘</w:t>
      </w:r>
      <w:r w:rsidR="000C2D2F" w:rsidRPr="003D2718">
        <w:rPr>
          <w:rFonts w:ascii="Maiandra GD" w:hAnsi="Maiandra GD"/>
          <w:szCs w:val="24"/>
        </w:rPr>
        <w:t xml:space="preserve">Achieving Best Evidence’ </w:t>
      </w:r>
      <w:r w:rsidRPr="003D2718">
        <w:rPr>
          <w:rFonts w:ascii="Maiandra GD" w:hAnsi="Maiandra GD"/>
          <w:szCs w:val="24"/>
        </w:rPr>
        <w:t>(ABE).  The aim was to encourage the child to speak, to do so without suggestive or leading questions and in a manner where the precise words and demeanour of the child could be accurately recorded on video, rather than in the pocketbook of a police officer or the notes of a foster carer</w:t>
      </w:r>
      <w:r w:rsidR="00394BCB">
        <w:rPr>
          <w:rFonts w:ascii="Maiandra GD" w:hAnsi="Maiandra GD"/>
          <w:szCs w:val="24"/>
        </w:rPr>
        <w:t xml:space="preserve"> written up </w:t>
      </w:r>
      <w:r w:rsidR="0061358A">
        <w:rPr>
          <w:rFonts w:ascii="Maiandra GD" w:hAnsi="Maiandra GD"/>
          <w:szCs w:val="24"/>
        </w:rPr>
        <w:t>some time after the event</w:t>
      </w:r>
      <w:r w:rsidRPr="003D2718">
        <w:rPr>
          <w:rFonts w:ascii="Maiandra GD" w:hAnsi="Maiandra GD"/>
          <w:szCs w:val="24"/>
        </w:rPr>
        <w:t>.</w:t>
      </w:r>
    </w:p>
    <w:p w14:paraId="7EAE9E72" w14:textId="1270CF9C" w:rsidR="00E1516F" w:rsidRPr="003D2718" w:rsidRDefault="00E1516F" w:rsidP="00B87A31">
      <w:pPr>
        <w:pStyle w:val="ParaLevel1"/>
        <w:numPr>
          <w:ilvl w:val="0"/>
          <w:numId w:val="0"/>
        </w:numPr>
        <w:spacing w:line="360" w:lineRule="auto"/>
        <w:rPr>
          <w:rFonts w:ascii="Maiandra GD" w:hAnsi="Maiandra GD"/>
          <w:szCs w:val="24"/>
        </w:rPr>
      </w:pPr>
      <w:r w:rsidRPr="003D2718">
        <w:rPr>
          <w:rFonts w:ascii="Maiandra GD" w:hAnsi="Maiandra GD"/>
          <w:szCs w:val="24"/>
        </w:rPr>
        <w:t xml:space="preserve">At the same time child psychiatrists and psychologists sought to develop interview techniques which were designed to draw a child’s understanding and knowledge of sexual matters to the fore without direct questioning.  In particular, a number of groups of workers began to introduce </w:t>
      </w:r>
      <w:r w:rsidR="0061358A">
        <w:rPr>
          <w:rFonts w:ascii="Maiandra GD" w:hAnsi="Maiandra GD"/>
          <w:szCs w:val="24"/>
        </w:rPr>
        <w:t>‘</w:t>
      </w:r>
      <w:r w:rsidRPr="003D2718">
        <w:rPr>
          <w:rFonts w:ascii="Maiandra GD" w:hAnsi="Maiandra GD"/>
          <w:szCs w:val="24"/>
        </w:rPr>
        <w:t xml:space="preserve">anatomically correct </w:t>
      </w:r>
      <w:r w:rsidR="00DB7655" w:rsidRPr="003D2718">
        <w:rPr>
          <w:rFonts w:ascii="Maiandra GD" w:hAnsi="Maiandra GD"/>
          <w:szCs w:val="24"/>
        </w:rPr>
        <w:t>dolls</w:t>
      </w:r>
      <w:r w:rsidR="0061358A">
        <w:rPr>
          <w:rFonts w:ascii="Maiandra GD" w:hAnsi="Maiandra GD"/>
          <w:szCs w:val="24"/>
        </w:rPr>
        <w:t>’</w:t>
      </w:r>
      <w:r w:rsidR="00DB7655" w:rsidRPr="003D2718">
        <w:rPr>
          <w:rFonts w:ascii="Maiandra GD" w:hAnsi="Maiandra GD"/>
          <w:szCs w:val="24"/>
        </w:rPr>
        <w:t xml:space="preserve"> </w:t>
      </w:r>
      <w:r w:rsidR="0061358A">
        <w:rPr>
          <w:rFonts w:ascii="Maiandra GD" w:hAnsi="Maiandra GD"/>
          <w:szCs w:val="24"/>
        </w:rPr>
        <w:t>(</w:t>
      </w:r>
      <w:r w:rsidR="00DB7655" w:rsidRPr="003D2718">
        <w:rPr>
          <w:rFonts w:ascii="Maiandra GD" w:hAnsi="Maiandra GD"/>
          <w:szCs w:val="24"/>
        </w:rPr>
        <w:t>with appropriate genitalia</w:t>
      </w:r>
      <w:r w:rsidR="0061358A">
        <w:rPr>
          <w:rFonts w:ascii="Maiandra GD" w:hAnsi="Maiandra GD"/>
          <w:szCs w:val="24"/>
        </w:rPr>
        <w:t>)</w:t>
      </w:r>
      <w:r w:rsidR="00DB7655" w:rsidRPr="003D2718">
        <w:rPr>
          <w:rFonts w:ascii="Maiandra GD" w:hAnsi="Maiandra GD"/>
          <w:szCs w:val="24"/>
        </w:rPr>
        <w:t xml:space="preserve"> into discussions with children and then interpret what the children might do on </w:t>
      </w:r>
      <w:r w:rsidR="00DB7655" w:rsidRPr="003D2718">
        <w:rPr>
          <w:rFonts w:ascii="Maiandra GD" w:hAnsi="Maiandra GD"/>
          <w:szCs w:val="24"/>
        </w:rPr>
        <w:lastRenderedPageBreak/>
        <w:t>discovering these novel features.  The social work and legal professions, and ultimately the courts, had to develop an approach to determine how much of this evidence was reliable.  It was a time of much activity</w:t>
      </w:r>
      <w:r w:rsidR="0061358A">
        <w:rPr>
          <w:rFonts w:ascii="Maiandra GD" w:hAnsi="Maiandra GD"/>
          <w:szCs w:val="24"/>
        </w:rPr>
        <w:t>,</w:t>
      </w:r>
      <w:r w:rsidR="00DB7655" w:rsidRPr="003D2718">
        <w:rPr>
          <w:rFonts w:ascii="Maiandra GD" w:hAnsi="Maiandra GD"/>
          <w:szCs w:val="24"/>
        </w:rPr>
        <w:t xml:space="preserve"> as is demonstrated by the ‘special edition’ of the Family Law Reports issued in 1987 in which every </w:t>
      </w:r>
      <w:r w:rsidR="008C1EFF">
        <w:rPr>
          <w:rFonts w:ascii="Maiandra GD" w:hAnsi="Maiandra GD"/>
          <w:szCs w:val="24"/>
        </w:rPr>
        <w:t xml:space="preserve">case </w:t>
      </w:r>
      <w:r w:rsidR="00DB7655" w:rsidRPr="003D2718">
        <w:rPr>
          <w:rFonts w:ascii="Maiandra GD" w:hAnsi="Maiandra GD"/>
          <w:szCs w:val="24"/>
        </w:rPr>
        <w:t>reported related to the analysis of evidence of child sexual abuse.</w:t>
      </w:r>
    </w:p>
    <w:p w14:paraId="4B44EA31" w14:textId="57A9F9A5" w:rsidR="00DB7655" w:rsidRPr="003D2718" w:rsidRDefault="00DB7655" w:rsidP="00B87A31">
      <w:pPr>
        <w:pStyle w:val="ParaLevel1"/>
        <w:numPr>
          <w:ilvl w:val="0"/>
          <w:numId w:val="0"/>
        </w:numPr>
        <w:spacing w:line="360" w:lineRule="auto"/>
        <w:rPr>
          <w:rFonts w:ascii="Maiandra GD" w:hAnsi="Maiandra GD"/>
          <w:szCs w:val="24"/>
        </w:rPr>
      </w:pPr>
      <w:r w:rsidRPr="003D2718">
        <w:rPr>
          <w:rFonts w:ascii="Maiandra GD" w:hAnsi="Maiandra GD"/>
          <w:szCs w:val="24"/>
        </w:rPr>
        <w:t>It was in this context of rapidly developing understanding, at times by trial and error, of physical, psychological and other evidence that events in the North East of England led to the timely and seminal inquiry presided over by Mrs Justice Butler-Sloss, as she was when the inquiry opened.</w:t>
      </w:r>
    </w:p>
    <w:p w14:paraId="2FE22C32" w14:textId="7C855956" w:rsidR="00AE01F5" w:rsidRDefault="008C1EFF" w:rsidP="00B87A31">
      <w:pPr>
        <w:pStyle w:val="ParaLevel1"/>
        <w:numPr>
          <w:ilvl w:val="0"/>
          <w:numId w:val="0"/>
        </w:numPr>
        <w:spacing w:line="360" w:lineRule="auto"/>
        <w:rPr>
          <w:rFonts w:ascii="Maiandra GD" w:hAnsi="Maiandra GD"/>
          <w:szCs w:val="24"/>
          <w:u w:val="single"/>
        </w:rPr>
      </w:pPr>
      <w:r w:rsidRPr="008C1EFF">
        <w:rPr>
          <w:rFonts w:ascii="Maiandra GD" w:hAnsi="Maiandra GD"/>
          <w:szCs w:val="24"/>
          <w:u w:val="single"/>
        </w:rPr>
        <w:t>The Cleveland Inquiry</w:t>
      </w:r>
    </w:p>
    <w:p w14:paraId="3C7E9A5E" w14:textId="77777777" w:rsidR="000E2444" w:rsidRDefault="008C1EFF" w:rsidP="00B87A31">
      <w:pPr>
        <w:pStyle w:val="ParaLevel1"/>
        <w:numPr>
          <w:ilvl w:val="0"/>
          <w:numId w:val="0"/>
        </w:numPr>
        <w:spacing w:line="360" w:lineRule="auto"/>
        <w:rPr>
          <w:rFonts w:ascii="Maiandra GD" w:hAnsi="Maiandra GD"/>
          <w:szCs w:val="24"/>
        </w:rPr>
      </w:pPr>
      <w:r>
        <w:rPr>
          <w:rFonts w:ascii="Maiandra GD" w:hAnsi="Maiandra GD"/>
          <w:szCs w:val="24"/>
        </w:rPr>
        <w:t xml:space="preserve">This is not the place to </w:t>
      </w:r>
      <w:r w:rsidR="00D52550">
        <w:rPr>
          <w:rFonts w:ascii="Maiandra GD" w:hAnsi="Maiandra GD"/>
          <w:szCs w:val="24"/>
        </w:rPr>
        <w:t>give a detailed explanation of the</w:t>
      </w:r>
      <w:r w:rsidR="00BA7335">
        <w:rPr>
          <w:rFonts w:ascii="Maiandra GD" w:hAnsi="Maiandra GD"/>
          <w:szCs w:val="24"/>
        </w:rPr>
        <w:t xml:space="preserve"> statutory</w:t>
      </w:r>
      <w:r w:rsidR="00D52550">
        <w:rPr>
          <w:rFonts w:ascii="Maiandra GD" w:hAnsi="Maiandra GD"/>
          <w:szCs w:val="24"/>
        </w:rPr>
        <w:t xml:space="preserve"> ‘Inquiry into Child Abuse in Cleveland in 1987’</w:t>
      </w:r>
      <w:r w:rsidR="00BA7335">
        <w:rPr>
          <w:rFonts w:ascii="Maiandra GD" w:hAnsi="Maiandra GD"/>
          <w:szCs w:val="24"/>
        </w:rPr>
        <w:t xml:space="preserve"> which was conducted</w:t>
      </w:r>
      <w:r w:rsidR="001D2691">
        <w:rPr>
          <w:rFonts w:ascii="Maiandra GD" w:hAnsi="Maiandra GD"/>
          <w:szCs w:val="24"/>
        </w:rPr>
        <w:t xml:space="preserve">, as the report proclaims in a sign of the times, by </w:t>
      </w:r>
      <w:r w:rsidR="001D2691">
        <w:rPr>
          <w:rFonts w:ascii="Maiandra GD" w:hAnsi="Maiandra GD"/>
          <w:szCs w:val="24"/>
          <w:u w:val="single"/>
        </w:rPr>
        <w:t>Lord</w:t>
      </w:r>
      <w:r w:rsidR="001D2691">
        <w:rPr>
          <w:rFonts w:ascii="Maiandra GD" w:hAnsi="Maiandra GD"/>
          <w:szCs w:val="24"/>
        </w:rPr>
        <w:t xml:space="preserve"> Justice Butler-Sloss (as she then was)</w:t>
      </w:r>
      <w:r w:rsidR="0062446C">
        <w:rPr>
          <w:rFonts w:ascii="Maiandra GD" w:hAnsi="Maiandra GD"/>
          <w:szCs w:val="24"/>
        </w:rPr>
        <w:t xml:space="preserve">. The Inquiry report was of the greatest importance. In addition to giving a comprehensive account of the events in the North East </w:t>
      </w:r>
      <w:r w:rsidR="000E2444">
        <w:rPr>
          <w:rFonts w:ascii="Maiandra GD" w:hAnsi="Maiandra GD"/>
          <w:szCs w:val="24"/>
        </w:rPr>
        <w:t>that had led to the Inquiry, it went on to analyse and make recommendations about:</w:t>
      </w:r>
    </w:p>
    <w:p w14:paraId="50EED967" w14:textId="77777777" w:rsidR="000E2444" w:rsidRDefault="000E2444" w:rsidP="000E2444">
      <w:pPr>
        <w:pStyle w:val="ParaLevel1"/>
        <w:numPr>
          <w:ilvl w:val="0"/>
          <w:numId w:val="11"/>
        </w:numPr>
        <w:spacing w:line="360" w:lineRule="auto"/>
        <w:rPr>
          <w:rFonts w:ascii="Maiandra GD" w:hAnsi="Maiandra GD"/>
          <w:szCs w:val="24"/>
        </w:rPr>
      </w:pPr>
      <w:r>
        <w:rPr>
          <w:rFonts w:ascii="Maiandra GD" w:hAnsi="Maiandra GD"/>
          <w:szCs w:val="24"/>
        </w:rPr>
        <w:t xml:space="preserve">Medical examination and assessment </w:t>
      </w:r>
    </w:p>
    <w:p w14:paraId="5DAA4FA0" w14:textId="77777777" w:rsidR="00A17B2C" w:rsidRDefault="00A17B2C" w:rsidP="000E2444">
      <w:pPr>
        <w:pStyle w:val="ParaLevel1"/>
        <w:numPr>
          <w:ilvl w:val="0"/>
          <w:numId w:val="11"/>
        </w:numPr>
        <w:spacing w:line="360" w:lineRule="auto"/>
        <w:rPr>
          <w:rFonts w:ascii="Maiandra GD" w:hAnsi="Maiandra GD"/>
          <w:szCs w:val="24"/>
        </w:rPr>
      </w:pPr>
      <w:r>
        <w:rPr>
          <w:rFonts w:ascii="Maiandra GD" w:hAnsi="Maiandra GD"/>
          <w:szCs w:val="24"/>
        </w:rPr>
        <w:t>Listening to the child</w:t>
      </w:r>
    </w:p>
    <w:p w14:paraId="7BB89933" w14:textId="77777777" w:rsidR="00A17B2C" w:rsidRDefault="00A17B2C" w:rsidP="000E2444">
      <w:pPr>
        <w:pStyle w:val="ParaLevel1"/>
        <w:numPr>
          <w:ilvl w:val="0"/>
          <w:numId w:val="11"/>
        </w:numPr>
        <w:spacing w:line="360" w:lineRule="auto"/>
        <w:rPr>
          <w:rFonts w:ascii="Maiandra GD" w:hAnsi="Maiandra GD"/>
          <w:szCs w:val="24"/>
        </w:rPr>
      </w:pPr>
      <w:r>
        <w:rPr>
          <w:rFonts w:ascii="Maiandra GD" w:hAnsi="Maiandra GD"/>
          <w:szCs w:val="24"/>
        </w:rPr>
        <w:t>Social work practice</w:t>
      </w:r>
    </w:p>
    <w:p w14:paraId="2A72A2C2" w14:textId="2BFFB962" w:rsidR="00A17B2C" w:rsidRDefault="00A17B2C" w:rsidP="000E2444">
      <w:pPr>
        <w:pStyle w:val="ParaLevel1"/>
        <w:numPr>
          <w:ilvl w:val="0"/>
          <w:numId w:val="11"/>
        </w:numPr>
        <w:spacing w:line="360" w:lineRule="auto"/>
        <w:rPr>
          <w:rFonts w:ascii="Maiandra GD" w:hAnsi="Maiandra GD"/>
          <w:szCs w:val="24"/>
        </w:rPr>
      </w:pPr>
      <w:r>
        <w:rPr>
          <w:rFonts w:ascii="Maiandra GD" w:hAnsi="Maiandra GD"/>
          <w:szCs w:val="24"/>
        </w:rPr>
        <w:t>Training; and</w:t>
      </w:r>
    </w:p>
    <w:p w14:paraId="22C12CE8" w14:textId="2181A381" w:rsidR="008C1EFF" w:rsidRDefault="00A17B2C" w:rsidP="000E2444">
      <w:pPr>
        <w:pStyle w:val="ParaLevel1"/>
        <w:numPr>
          <w:ilvl w:val="0"/>
          <w:numId w:val="11"/>
        </w:numPr>
        <w:spacing w:line="360" w:lineRule="auto"/>
        <w:rPr>
          <w:rFonts w:ascii="Maiandra GD" w:hAnsi="Maiandra GD"/>
          <w:szCs w:val="24"/>
        </w:rPr>
      </w:pPr>
      <w:r>
        <w:rPr>
          <w:rFonts w:ascii="Maiandra GD" w:hAnsi="Maiandra GD"/>
          <w:szCs w:val="24"/>
        </w:rPr>
        <w:t>The work of the courts.</w:t>
      </w:r>
    </w:p>
    <w:p w14:paraId="056A5DD7" w14:textId="216016EB" w:rsidR="00A17B2C" w:rsidRDefault="00C3315F" w:rsidP="00A17B2C">
      <w:pPr>
        <w:pStyle w:val="ParaLevel1"/>
        <w:numPr>
          <w:ilvl w:val="0"/>
          <w:numId w:val="0"/>
        </w:numPr>
        <w:spacing w:line="360" w:lineRule="auto"/>
        <w:rPr>
          <w:rFonts w:ascii="Maiandra GD" w:hAnsi="Maiandra GD"/>
          <w:szCs w:val="24"/>
        </w:rPr>
      </w:pPr>
      <w:r>
        <w:rPr>
          <w:rFonts w:ascii="Maiandra GD" w:hAnsi="Maiandra GD"/>
          <w:szCs w:val="24"/>
        </w:rPr>
        <w:t xml:space="preserve">Above the detail, the overall conclusion represented a significant step-change in our understanding. I can do no better than quote from </w:t>
      </w:r>
      <w:r w:rsidR="00726CA8">
        <w:rPr>
          <w:rFonts w:ascii="Maiandra GD" w:hAnsi="Maiandra GD"/>
          <w:szCs w:val="24"/>
        </w:rPr>
        <w:t>paragraph 1 of the Final Conclusions:</w:t>
      </w:r>
    </w:p>
    <w:p w14:paraId="7E5BFB20" w14:textId="23D8C96B" w:rsidR="00726CA8" w:rsidRDefault="00726CA8" w:rsidP="00726CA8">
      <w:pPr>
        <w:pStyle w:val="ParaLevel1"/>
        <w:numPr>
          <w:ilvl w:val="0"/>
          <w:numId w:val="0"/>
        </w:numPr>
        <w:spacing w:line="360" w:lineRule="auto"/>
        <w:ind w:left="567"/>
        <w:rPr>
          <w:rFonts w:ascii="Maiandra GD" w:hAnsi="Maiandra GD"/>
          <w:szCs w:val="24"/>
        </w:rPr>
      </w:pPr>
      <w:r>
        <w:rPr>
          <w:rFonts w:ascii="Maiandra GD" w:hAnsi="Maiandra GD"/>
          <w:szCs w:val="24"/>
        </w:rPr>
        <w:t>“</w:t>
      </w:r>
      <w:r w:rsidR="00010331">
        <w:rPr>
          <w:rFonts w:ascii="Maiandra GD" w:hAnsi="Maiandra GD"/>
          <w:szCs w:val="24"/>
        </w:rPr>
        <w:t xml:space="preserve">We have learned during the Inquiry that sexual abuse occurs in children of all ages, including the very young, to boys as well as girls, in all classes of society and frequently within the privacy </w:t>
      </w:r>
      <w:r w:rsidR="00B44F34">
        <w:rPr>
          <w:rFonts w:ascii="Maiandra GD" w:hAnsi="Maiandra GD"/>
          <w:szCs w:val="24"/>
        </w:rPr>
        <w:t xml:space="preserve">of the family. … The problems of child sexual abuse have been recognised to an increasing extent over the past few years by </w:t>
      </w:r>
      <w:r w:rsidR="00B44F34">
        <w:rPr>
          <w:rFonts w:ascii="Maiandra GD" w:hAnsi="Maiandra GD"/>
          <w:szCs w:val="24"/>
        </w:rPr>
        <w:lastRenderedPageBreak/>
        <w:t>professionals in different disciplines. This presents new and particularly difficult problems for the agencies concerned in child protection. In Cleveland an honest attempt was made to address these problems by the agencies. In Spring 1987 it went wrong.”</w:t>
      </w:r>
    </w:p>
    <w:p w14:paraId="4EB3C0D2" w14:textId="0D21F50B" w:rsidR="006134E6" w:rsidRPr="001D2691" w:rsidRDefault="006134E6" w:rsidP="006134E6">
      <w:pPr>
        <w:pStyle w:val="ParaLevel1"/>
        <w:numPr>
          <w:ilvl w:val="0"/>
          <w:numId w:val="0"/>
        </w:numPr>
        <w:spacing w:line="360" w:lineRule="auto"/>
        <w:rPr>
          <w:rFonts w:ascii="Maiandra GD" w:hAnsi="Maiandra GD"/>
          <w:szCs w:val="24"/>
        </w:rPr>
      </w:pPr>
      <w:r>
        <w:rPr>
          <w:rFonts w:ascii="Maiandra GD" w:hAnsi="Maiandra GD"/>
          <w:szCs w:val="24"/>
        </w:rPr>
        <w:t>If that cliff hanger hooks those who have never read the full report, the I would encourage them to track it down and do so now</w:t>
      </w:r>
      <w:r>
        <w:rPr>
          <w:rStyle w:val="FootnoteReference"/>
          <w:rFonts w:ascii="Maiandra GD" w:hAnsi="Maiandra GD"/>
          <w:szCs w:val="24"/>
        </w:rPr>
        <w:footnoteReference w:id="6"/>
      </w:r>
      <w:r>
        <w:rPr>
          <w:rFonts w:ascii="Maiandra GD" w:hAnsi="Maiandra GD"/>
          <w:szCs w:val="24"/>
        </w:rPr>
        <w:t>; it is still a compelling read.</w:t>
      </w:r>
    </w:p>
    <w:p w14:paraId="347AB1BA" w14:textId="30DBDA4D" w:rsidR="00381A4E" w:rsidRPr="003D2718" w:rsidRDefault="00381A4E" w:rsidP="00B87A31">
      <w:pPr>
        <w:pStyle w:val="ParaLevel1"/>
        <w:numPr>
          <w:ilvl w:val="0"/>
          <w:numId w:val="0"/>
        </w:numPr>
        <w:spacing w:line="360" w:lineRule="auto"/>
        <w:rPr>
          <w:rFonts w:ascii="Maiandra GD" w:hAnsi="Maiandra GD"/>
          <w:b/>
          <w:szCs w:val="24"/>
          <w:u w:val="single"/>
        </w:rPr>
      </w:pPr>
      <w:r w:rsidRPr="003D2718">
        <w:rPr>
          <w:rFonts w:ascii="Maiandra GD" w:hAnsi="Maiandra GD"/>
          <w:b/>
          <w:szCs w:val="24"/>
          <w:u w:val="single"/>
        </w:rPr>
        <w:t>The wider perspective</w:t>
      </w:r>
    </w:p>
    <w:p w14:paraId="7D528A92" w14:textId="6FFB9C91" w:rsidR="00381A4E" w:rsidRPr="003D2718" w:rsidRDefault="00381A4E" w:rsidP="00B87A31">
      <w:pPr>
        <w:pStyle w:val="ParaLevel1"/>
        <w:numPr>
          <w:ilvl w:val="0"/>
          <w:numId w:val="0"/>
        </w:numPr>
        <w:spacing w:line="360" w:lineRule="auto"/>
        <w:rPr>
          <w:rFonts w:ascii="Maiandra GD" w:hAnsi="Maiandra GD"/>
          <w:szCs w:val="24"/>
        </w:rPr>
      </w:pPr>
      <w:r w:rsidRPr="003D2718">
        <w:rPr>
          <w:rFonts w:ascii="Maiandra GD" w:hAnsi="Maiandra GD"/>
          <w:szCs w:val="24"/>
        </w:rPr>
        <w:t xml:space="preserve">Rather than simply ploughing on at this stage with </w:t>
      </w:r>
      <w:r w:rsidR="00A21438" w:rsidRPr="003D2718">
        <w:rPr>
          <w:rFonts w:ascii="Maiandra GD" w:hAnsi="Maiandra GD"/>
          <w:szCs w:val="24"/>
        </w:rPr>
        <w:t>further</w:t>
      </w:r>
      <w:r w:rsidR="0006203A">
        <w:rPr>
          <w:rFonts w:ascii="Maiandra GD" w:hAnsi="Maiandra GD"/>
          <w:szCs w:val="24"/>
        </w:rPr>
        <w:t xml:space="preserve"> </w:t>
      </w:r>
      <w:r w:rsidR="00A21438" w:rsidRPr="003D2718">
        <w:rPr>
          <w:rFonts w:ascii="Maiandra GD" w:hAnsi="Maiandra GD"/>
          <w:szCs w:val="24"/>
        </w:rPr>
        <w:t>more</w:t>
      </w:r>
      <w:r w:rsidRPr="003D2718">
        <w:rPr>
          <w:rFonts w:ascii="Maiandra GD" w:hAnsi="Maiandra GD"/>
          <w:szCs w:val="24"/>
        </w:rPr>
        <w:t xml:space="preserve"> recent examples of our own development in this country in the understanding </w:t>
      </w:r>
      <w:r w:rsidR="009C55B8" w:rsidRPr="003D2718">
        <w:rPr>
          <w:rFonts w:ascii="Maiandra GD" w:hAnsi="Maiandra GD"/>
          <w:szCs w:val="24"/>
        </w:rPr>
        <w:t>of child sexual abuse, I wish, for a moment, to step back and look at the bigger picture and ask whether it is by chance that our knowledge has developed in the way that it has, or are we following a more widely accepted path that either has been, or will be, replicated in other countries?</w:t>
      </w:r>
    </w:p>
    <w:p w14:paraId="4CF032AF" w14:textId="6592323C" w:rsidR="009C55B8" w:rsidRPr="003D2718" w:rsidRDefault="009C55B8" w:rsidP="00B87A31">
      <w:pPr>
        <w:pStyle w:val="ParaLevel1"/>
        <w:numPr>
          <w:ilvl w:val="0"/>
          <w:numId w:val="0"/>
        </w:numPr>
        <w:spacing w:line="360" w:lineRule="auto"/>
        <w:rPr>
          <w:rFonts w:ascii="Maiandra GD" w:hAnsi="Maiandra GD"/>
          <w:szCs w:val="24"/>
        </w:rPr>
      </w:pPr>
      <w:r w:rsidRPr="003D2718">
        <w:rPr>
          <w:rFonts w:ascii="Maiandra GD" w:hAnsi="Maiandra GD"/>
          <w:szCs w:val="24"/>
        </w:rPr>
        <w:t xml:space="preserve">The short answer is that the journey upon which we have embarked, and continue to travel, is familiar across the world.  It starts with a lingering reluctance in societies to accept the fact that child abuse takes place.  For example, </w:t>
      </w:r>
      <w:r w:rsidR="0006203A">
        <w:rPr>
          <w:rFonts w:ascii="Maiandra GD" w:hAnsi="Maiandra GD"/>
          <w:szCs w:val="24"/>
        </w:rPr>
        <w:t>J</w:t>
      </w:r>
      <w:r w:rsidRPr="003D2718">
        <w:rPr>
          <w:rFonts w:ascii="Maiandra GD" w:hAnsi="Maiandra GD"/>
          <w:szCs w:val="24"/>
        </w:rPr>
        <w:t>ean Renvoize noted in her 1993 study into child sexual abuse</w:t>
      </w:r>
      <w:r w:rsidR="0006203A">
        <w:rPr>
          <w:rStyle w:val="FootnoteReference"/>
          <w:rFonts w:ascii="Maiandra GD" w:hAnsi="Maiandra GD"/>
          <w:szCs w:val="24"/>
        </w:rPr>
        <w:footnoteReference w:id="7"/>
      </w:r>
      <w:r w:rsidRPr="003D2718">
        <w:rPr>
          <w:rFonts w:ascii="Maiandra GD" w:hAnsi="Maiandra GD"/>
          <w:szCs w:val="24"/>
        </w:rPr>
        <w:t>:</w:t>
      </w:r>
    </w:p>
    <w:p w14:paraId="1409478F" w14:textId="2ED336F9" w:rsidR="009C55B8" w:rsidRPr="003D2718" w:rsidRDefault="009C55B8" w:rsidP="00B87A31">
      <w:pPr>
        <w:pStyle w:val="Quote"/>
        <w:spacing w:line="360" w:lineRule="auto"/>
        <w:rPr>
          <w:rFonts w:ascii="Maiandra GD" w:hAnsi="Maiandra GD"/>
          <w:szCs w:val="24"/>
        </w:rPr>
      </w:pPr>
      <w:r w:rsidRPr="003D2718">
        <w:rPr>
          <w:rFonts w:ascii="Maiandra GD" w:hAnsi="Maiandra GD"/>
          <w:szCs w:val="24"/>
        </w:rPr>
        <w:t xml:space="preserve">“Consistently over the years I have found people </w:t>
      </w:r>
      <w:r w:rsidR="0006203A">
        <w:rPr>
          <w:rFonts w:ascii="Maiandra GD" w:hAnsi="Maiandra GD"/>
          <w:szCs w:val="24"/>
        </w:rPr>
        <w:t>of</w:t>
      </w:r>
      <w:r w:rsidRPr="003D2718">
        <w:rPr>
          <w:rFonts w:ascii="Maiandra GD" w:hAnsi="Maiandra GD"/>
          <w:szCs w:val="24"/>
        </w:rPr>
        <w:t xml:space="preserve"> every kind in every country I have visited, including my own, claiming that, although child abuse obviously exists elsewhere ‘it does not happen </w:t>
      </w:r>
      <w:r w:rsidRPr="003D2718">
        <w:rPr>
          <w:rFonts w:ascii="Maiandra GD" w:hAnsi="Maiandra GD"/>
          <w:szCs w:val="24"/>
          <w:u w:val="single"/>
        </w:rPr>
        <w:t>here</w:t>
      </w:r>
      <w:r w:rsidRPr="003D2718">
        <w:rPr>
          <w:rFonts w:ascii="Maiandra GD" w:hAnsi="Maiandra GD"/>
          <w:szCs w:val="24"/>
        </w:rPr>
        <w:t xml:space="preserve">’.” </w:t>
      </w:r>
    </w:p>
    <w:p w14:paraId="7B7E619E" w14:textId="77777777" w:rsidR="009C55B8" w:rsidRPr="003D2718" w:rsidRDefault="009C55B8" w:rsidP="00B87A31">
      <w:pPr>
        <w:pStyle w:val="ParaLevel1"/>
        <w:numPr>
          <w:ilvl w:val="0"/>
          <w:numId w:val="0"/>
        </w:numPr>
        <w:spacing w:line="360" w:lineRule="auto"/>
        <w:rPr>
          <w:rFonts w:ascii="Maiandra GD" w:hAnsi="Maiandra GD"/>
          <w:szCs w:val="24"/>
        </w:rPr>
      </w:pPr>
    </w:p>
    <w:p w14:paraId="64D2FF29" w14:textId="1AE88D24" w:rsidR="009C55B8" w:rsidRPr="003D2718" w:rsidRDefault="009C55B8" w:rsidP="00B87A31">
      <w:pPr>
        <w:pStyle w:val="ParaLevel1"/>
        <w:numPr>
          <w:ilvl w:val="0"/>
          <w:numId w:val="0"/>
        </w:numPr>
        <w:spacing w:line="360" w:lineRule="auto"/>
        <w:rPr>
          <w:rFonts w:ascii="Maiandra GD" w:hAnsi="Maiandra GD"/>
          <w:szCs w:val="24"/>
        </w:rPr>
      </w:pPr>
      <w:r w:rsidRPr="003D2718">
        <w:rPr>
          <w:rFonts w:ascii="Maiandra GD" w:hAnsi="Maiandra GD"/>
          <w:szCs w:val="24"/>
        </w:rPr>
        <w:t xml:space="preserve">In addition to the, perhaps natural, reluctance to accept that an individual would act in a wholly abusive manner, there is a second, wider, more </w:t>
      </w:r>
      <w:r w:rsidR="000764F9">
        <w:rPr>
          <w:rFonts w:ascii="Maiandra GD" w:hAnsi="Maiandra GD"/>
          <w:szCs w:val="24"/>
        </w:rPr>
        <w:t xml:space="preserve">a </w:t>
      </w:r>
      <w:r w:rsidRPr="003D2718">
        <w:rPr>
          <w:rFonts w:ascii="Maiandra GD" w:hAnsi="Maiandra GD"/>
          <w:szCs w:val="24"/>
        </w:rPr>
        <w:t xml:space="preserve">cultural inhibition with </w:t>
      </w:r>
      <w:r w:rsidR="00857D04">
        <w:rPr>
          <w:rFonts w:ascii="Maiandra GD" w:hAnsi="Maiandra GD"/>
          <w:szCs w:val="24"/>
        </w:rPr>
        <w:t xml:space="preserve">a </w:t>
      </w:r>
      <w:r w:rsidRPr="003D2718">
        <w:rPr>
          <w:rFonts w:ascii="Maiandra GD" w:hAnsi="Maiandra GD"/>
          <w:szCs w:val="24"/>
        </w:rPr>
        <w:t>societ</w:t>
      </w:r>
      <w:r w:rsidR="000764F9">
        <w:rPr>
          <w:rFonts w:ascii="Maiandra GD" w:hAnsi="Maiandra GD"/>
          <w:szCs w:val="24"/>
        </w:rPr>
        <w:t>y’</w:t>
      </w:r>
      <w:r w:rsidRPr="003D2718">
        <w:rPr>
          <w:rFonts w:ascii="Maiandra GD" w:hAnsi="Maiandra GD"/>
          <w:szCs w:val="24"/>
        </w:rPr>
        <w:t xml:space="preserve">s members disbelieving that the problem would arise in their own state.  Renvoize, </w:t>
      </w:r>
      <w:r w:rsidR="00751CE3" w:rsidRPr="003D2718">
        <w:rPr>
          <w:rFonts w:ascii="Maiandra GD" w:hAnsi="Maiandra GD"/>
          <w:szCs w:val="24"/>
        </w:rPr>
        <w:t xml:space="preserve">again, contacted Indian professors following reports of child abuse in India </w:t>
      </w:r>
      <w:r w:rsidR="00751CE3" w:rsidRPr="003D2718">
        <w:rPr>
          <w:rFonts w:ascii="Maiandra GD" w:hAnsi="Maiandra GD"/>
          <w:szCs w:val="24"/>
        </w:rPr>
        <w:lastRenderedPageBreak/>
        <w:t>to which they replied</w:t>
      </w:r>
      <w:r w:rsidR="000764F9">
        <w:rPr>
          <w:rFonts w:ascii="Maiandra GD" w:hAnsi="Maiandra GD"/>
          <w:szCs w:val="24"/>
        </w:rPr>
        <w:t>,</w:t>
      </w:r>
      <w:r w:rsidR="00751CE3" w:rsidRPr="003D2718">
        <w:rPr>
          <w:rFonts w:ascii="Maiandra GD" w:hAnsi="Maiandra GD"/>
          <w:szCs w:val="24"/>
        </w:rPr>
        <w:t xml:space="preserve"> ‘Fortunately in India child sexual abuse has not yet become a problem’</w:t>
      </w:r>
      <w:r w:rsidR="00857D04">
        <w:rPr>
          <w:rStyle w:val="FootnoteReference"/>
          <w:rFonts w:ascii="Maiandra GD" w:hAnsi="Maiandra GD"/>
          <w:szCs w:val="24"/>
        </w:rPr>
        <w:footnoteReference w:id="8"/>
      </w:r>
      <w:r w:rsidR="00751CE3" w:rsidRPr="003D2718">
        <w:rPr>
          <w:rFonts w:ascii="Maiandra GD" w:hAnsi="Maiandra GD"/>
          <w:szCs w:val="24"/>
        </w:rPr>
        <w:t>.</w:t>
      </w:r>
    </w:p>
    <w:p w14:paraId="3D211671" w14:textId="504E2697" w:rsidR="00751CE3" w:rsidRPr="003D2718" w:rsidRDefault="00751CE3" w:rsidP="00B87A31">
      <w:pPr>
        <w:pStyle w:val="ParaLevel1"/>
        <w:numPr>
          <w:ilvl w:val="0"/>
          <w:numId w:val="0"/>
        </w:numPr>
        <w:spacing w:line="360" w:lineRule="auto"/>
        <w:rPr>
          <w:rFonts w:ascii="Maiandra GD" w:hAnsi="Maiandra GD"/>
          <w:szCs w:val="24"/>
        </w:rPr>
      </w:pPr>
      <w:r w:rsidRPr="003D2718">
        <w:rPr>
          <w:rFonts w:ascii="Maiandra GD" w:hAnsi="Maiandra GD"/>
          <w:szCs w:val="24"/>
        </w:rPr>
        <w:t>For my own part, as recently as 2005, I attended a conference in Sweden where professionals from Britain came to speak about child sexual abuse only to be told by a number of delegates that this was not a problem in their country; they referred to child sexual abuse as ‘the British disease’.</w:t>
      </w:r>
    </w:p>
    <w:p w14:paraId="1E9737F8" w14:textId="1BC4D728" w:rsidR="00751CE3" w:rsidRPr="003D2718" w:rsidRDefault="00751CE3" w:rsidP="00B87A31">
      <w:pPr>
        <w:pStyle w:val="ParaLevel1"/>
        <w:numPr>
          <w:ilvl w:val="0"/>
          <w:numId w:val="0"/>
        </w:numPr>
        <w:spacing w:line="360" w:lineRule="auto"/>
        <w:rPr>
          <w:rFonts w:ascii="Maiandra GD" w:hAnsi="Maiandra GD"/>
          <w:szCs w:val="24"/>
        </w:rPr>
      </w:pPr>
      <w:r w:rsidRPr="003D2718">
        <w:rPr>
          <w:rFonts w:ascii="Maiandra GD" w:hAnsi="Maiandra GD"/>
          <w:szCs w:val="24"/>
        </w:rPr>
        <w:t>In 2002, a World Health Organisation review of the international literature on child abuse showed that ‘there is clear evidence that child abuse is a global problem’</w:t>
      </w:r>
      <w:r w:rsidR="005E0C9D">
        <w:rPr>
          <w:rStyle w:val="FootnoteReference"/>
          <w:rFonts w:ascii="Maiandra GD" w:hAnsi="Maiandra GD"/>
          <w:szCs w:val="24"/>
        </w:rPr>
        <w:footnoteReference w:id="9"/>
      </w:r>
      <w:r w:rsidRPr="003D2718">
        <w:rPr>
          <w:rFonts w:ascii="Maiandra GD" w:hAnsi="Maiandra GD"/>
          <w:szCs w:val="24"/>
        </w:rPr>
        <w:t xml:space="preserve">.  However, in announcing his report, it’s author Desmond Runyan commented: </w:t>
      </w:r>
    </w:p>
    <w:p w14:paraId="642E51C8" w14:textId="51209200" w:rsidR="00751CE3" w:rsidRPr="003D2718" w:rsidRDefault="00751CE3" w:rsidP="00B87A31">
      <w:pPr>
        <w:pStyle w:val="Quote"/>
        <w:spacing w:line="360" w:lineRule="auto"/>
        <w:rPr>
          <w:rFonts w:ascii="Maiandra GD" w:hAnsi="Maiandra GD"/>
          <w:szCs w:val="24"/>
        </w:rPr>
      </w:pPr>
      <w:r w:rsidRPr="003D2718">
        <w:rPr>
          <w:rFonts w:ascii="Maiandra GD" w:hAnsi="Maiandra GD"/>
          <w:szCs w:val="24"/>
        </w:rPr>
        <w:t>“Whether child abuse is uniquely American or Western is a question that’s been raised by a number of people around the world.  Not long ago, a Chilean physician said to me that clearly it happens more in North America than any other place.  ‘just look at Medline (an online search engine for medical information),’ he said.  ‘It is American journals that write about child abuse’.”</w:t>
      </w:r>
    </w:p>
    <w:p w14:paraId="698DEE07" w14:textId="04F16F31" w:rsidR="00751CE3" w:rsidRPr="003D2718" w:rsidRDefault="00751CE3" w:rsidP="00B87A31">
      <w:pPr>
        <w:pStyle w:val="ParaLevel1"/>
        <w:numPr>
          <w:ilvl w:val="0"/>
          <w:numId w:val="0"/>
        </w:numPr>
        <w:spacing w:line="360" w:lineRule="auto"/>
        <w:rPr>
          <w:rFonts w:ascii="Maiandra GD" w:hAnsi="Maiandra GD"/>
          <w:szCs w:val="24"/>
        </w:rPr>
      </w:pPr>
    </w:p>
    <w:p w14:paraId="3BA26CCF" w14:textId="047C8745" w:rsidR="003A0FA7" w:rsidRPr="003D2718" w:rsidRDefault="00751CE3" w:rsidP="00B87A31">
      <w:pPr>
        <w:pStyle w:val="ParaLevel1"/>
        <w:numPr>
          <w:ilvl w:val="0"/>
          <w:numId w:val="0"/>
        </w:numPr>
        <w:spacing w:line="360" w:lineRule="auto"/>
        <w:rPr>
          <w:rFonts w:ascii="Maiandra GD" w:hAnsi="Maiandra GD"/>
          <w:szCs w:val="24"/>
        </w:rPr>
      </w:pPr>
      <w:r w:rsidRPr="003D2718">
        <w:rPr>
          <w:rFonts w:ascii="Maiandra GD" w:hAnsi="Maiandra GD"/>
          <w:szCs w:val="24"/>
        </w:rPr>
        <w:t xml:space="preserve">This poses the question whether certain societies are ahead of others in accepting the problem of child abuse, and </w:t>
      </w:r>
      <w:r w:rsidR="003A0FA7" w:rsidRPr="003D2718">
        <w:rPr>
          <w:rFonts w:ascii="Maiandra GD" w:hAnsi="Maiandra GD"/>
          <w:szCs w:val="24"/>
        </w:rPr>
        <w:t xml:space="preserve">whether that translates into a ‘curve of understanding’ for recognising new forms of abuse.  </w:t>
      </w:r>
    </w:p>
    <w:p w14:paraId="484F2B46" w14:textId="385E231B" w:rsidR="003A0FA7" w:rsidRPr="003D2718" w:rsidRDefault="003A0FA7" w:rsidP="00B87A31">
      <w:pPr>
        <w:pStyle w:val="ParaLevel1"/>
        <w:numPr>
          <w:ilvl w:val="0"/>
          <w:numId w:val="0"/>
        </w:numPr>
        <w:spacing w:line="360" w:lineRule="auto"/>
        <w:rPr>
          <w:rFonts w:ascii="Maiandra GD" w:hAnsi="Maiandra GD"/>
          <w:szCs w:val="24"/>
        </w:rPr>
      </w:pPr>
      <w:r w:rsidRPr="003D2718">
        <w:rPr>
          <w:rFonts w:ascii="Maiandra GD" w:hAnsi="Maiandra GD"/>
          <w:szCs w:val="24"/>
        </w:rPr>
        <w:t>Whether or not there is a ‘curve</w:t>
      </w:r>
      <w:r w:rsidR="0062704F" w:rsidRPr="003D2718">
        <w:rPr>
          <w:rFonts w:ascii="Maiandra GD" w:hAnsi="Maiandra GD"/>
          <w:szCs w:val="24"/>
        </w:rPr>
        <w:t>’</w:t>
      </w:r>
      <w:r w:rsidRPr="003D2718">
        <w:rPr>
          <w:rFonts w:ascii="Maiandra GD" w:hAnsi="Maiandra GD"/>
          <w:szCs w:val="24"/>
        </w:rPr>
        <w:t xml:space="preserve"> of understanding, </w:t>
      </w:r>
      <w:r w:rsidR="0062704F" w:rsidRPr="003D2718">
        <w:rPr>
          <w:rFonts w:ascii="Maiandra GD" w:hAnsi="Maiandra GD"/>
          <w:szCs w:val="24"/>
        </w:rPr>
        <w:t xml:space="preserve">a word </w:t>
      </w:r>
      <w:r w:rsidRPr="003D2718">
        <w:rPr>
          <w:rFonts w:ascii="Maiandra GD" w:hAnsi="Maiandra GD"/>
          <w:szCs w:val="24"/>
        </w:rPr>
        <w:t>which suggests an orderly and proportionate progression, it has been possible to identify a number of step changes, or stages, of development within a particular society in accepting and understanding child abuse.  In his work, in 1978, Henry Kempe identified five developmental stages which societies progress through.  They are, in short:</w:t>
      </w:r>
    </w:p>
    <w:p w14:paraId="13FA6F21" w14:textId="410D3119" w:rsidR="003A0FA7" w:rsidRPr="003D2718" w:rsidRDefault="003A0FA7" w:rsidP="00B87A31">
      <w:pPr>
        <w:pStyle w:val="Quote"/>
        <w:spacing w:line="360" w:lineRule="auto"/>
        <w:ind w:left="567"/>
        <w:rPr>
          <w:rFonts w:ascii="Maiandra GD" w:hAnsi="Maiandra GD"/>
          <w:szCs w:val="24"/>
        </w:rPr>
      </w:pPr>
      <w:r w:rsidRPr="003D2718">
        <w:rPr>
          <w:rFonts w:ascii="Maiandra GD" w:hAnsi="Maiandra GD"/>
          <w:szCs w:val="24"/>
        </w:rPr>
        <w:lastRenderedPageBreak/>
        <w:t>Stage One: Denial that either physical or sexual abuse exists to a significant extent.  Serious abuse that surfaces is ascribed to psychotic, drunk or drugged parent or to foreign guest workers with different styles of child raising – in short ‘nothing to do with us’.</w:t>
      </w:r>
    </w:p>
    <w:p w14:paraId="11592187" w14:textId="77777777" w:rsidR="0065338E" w:rsidRPr="003D2718" w:rsidRDefault="003A0FA7" w:rsidP="00B87A31">
      <w:pPr>
        <w:pStyle w:val="Quote"/>
        <w:spacing w:line="360" w:lineRule="auto"/>
        <w:ind w:left="567"/>
        <w:rPr>
          <w:rFonts w:ascii="Maiandra GD" w:hAnsi="Maiandra GD"/>
          <w:szCs w:val="24"/>
        </w:rPr>
      </w:pPr>
      <w:r w:rsidRPr="003D2718">
        <w:rPr>
          <w:rFonts w:ascii="Maiandra GD" w:hAnsi="Maiandra GD"/>
          <w:szCs w:val="24"/>
        </w:rPr>
        <w:t>Stage Two is paying attention to the more lurid abuse – the battered child – and beginning to cope in more effective ways with physical abuse including early intervention</w:t>
      </w:r>
      <w:r w:rsidR="0065338E" w:rsidRPr="003D2718">
        <w:rPr>
          <w:rFonts w:ascii="Maiandra GD" w:hAnsi="Maiandra GD"/>
          <w:szCs w:val="24"/>
        </w:rPr>
        <w:t xml:space="preserve"> when abuse is perhaps not so severe.</w:t>
      </w:r>
    </w:p>
    <w:p w14:paraId="450A57A8" w14:textId="77777777" w:rsidR="0065338E" w:rsidRPr="003D2718" w:rsidRDefault="0065338E" w:rsidP="00B87A31">
      <w:pPr>
        <w:pStyle w:val="Quote"/>
        <w:spacing w:line="360" w:lineRule="auto"/>
        <w:ind w:left="567"/>
        <w:rPr>
          <w:rFonts w:ascii="Maiandra GD" w:hAnsi="Maiandra GD"/>
          <w:szCs w:val="24"/>
        </w:rPr>
      </w:pPr>
      <w:r w:rsidRPr="003D2718">
        <w:rPr>
          <w:rFonts w:ascii="Maiandra GD" w:hAnsi="Maiandra GD"/>
          <w:szCs w:val="24"/>
        </w:rPr>
        <w:t>Stage Three comes when physical abuse is better handled and attention is now beginning to be paid to the infant who failed to thrive, an example of passive abuse, and the general area of significant physical abuse.</w:t>
      </w:r>
    </w:p>
    <w:p w14:paraId="787FC229" w14:textId="77777777" w:rsidR="0065338E" w:rsidRPr="003D2718" w:rsidRDefault="0065338E" w:rsidP="00B87A31">
      <w:pPr>
        <w:pStyle w:val="Quote"/>
        <w:spacing w:line="360" w:lineRule="auto"/>
        <w:ind w:left="567"/>
        <w:rPr>
          <w:rFonts w:ascii="Maiandra GD" w:hAnsi="Maiandra GD"/>
          <w:szCs w:val="24"/>
        </w:rPr>
      </w:pPr>
      <w:r w:rsidRPr="003D2718">
        <w:rPr>
          <w:rFonts w:ascii="Maiandra GD" w:hAnsi="Maiandra GD"/>
          <w:szCs w:val="24"/>
        </w:rPr>
        <w:t>Stage Four comes in recognition of emotional abuse and neglect.</w:t>
      </w:r>
    </w:p>
    <w:p w14:paraId="512505C8" w14:textId="635DC5E3" w:rsidR="003A0FA7" w:rsidRPr="003D2718" w:rsidRDefault="0065338E" w:rsidP="00B87A31">
      <w:pPr>
        <w:pStyle w:val="Quote"/>
        <w:spacing w:line="360" w:lineRule="auto"/>
        <w:ind w:left="567"/>
        <w:rPr>
          <w:rFonts w:ascii="Maiandra GD" w:hAnsi="Maiandra GD"/>
          <w:szCs w:val="24"/>
        </w:rPr>
      </w:pPr>
      <w:r w:rsidRPr="003D2718">
        <w:rPr>
          <w:rFonts w:ascii="Maiandra GD" w:hAnsi="Maiandra GD"/>
          <w:szCs w:val="24"/>
        </w:rPr>
        <w:t>Stage Five is the paying attention to the serious plight of the sexually abused child.</w:t>
      </w:r>
    </w:p>
    <w:p w14:paraId="796C2819" w14:textId="0E758FC3" w:rsidR="0065338E" w:rsidRPr="003D2718" w:rsidRDefault="0065338E" w:rsidP="00B87A31">
      <w:pPr>
        <w:pStyle w:val="ParaLevel1"/>
        <w:numPr>
          <w:ilvl w:val="0"/>
          <w:numId w:val="0"/>
        </w:numPr>
        <w:spacing w:line="360" w:lineRule="auto"/>
        <w:rPr>
          <w:rFonts w:ascii="Maiandra GD" w:hAnsi="Maiandra GD"/>
          <w:szCs w:val="24"/>
        </w:rPr>
      </w:pPr>
      <w:r w:rsidRPr="003D2718">
        <w:rPr>
          <w:rFonts w:ascii="Maiandra GD" w:hAnsi="Maiandra GD"/>
          <w:szCs w:val="24"/>
        </w:rPr>
        <w:t xml:space="preserve">As I have already indicated, rather than a smooth progression, </w:t>
      </w:r>
      <w:r w:rsidR="0062704F" w:rsidRPr="003D2718">
        <w:rPr>
          <w:rFonts w:ascii="Maiandra GD" w:hAnsi="Maiandra GD"/>
          <w:szCs w:val="24"/>
        </w:rPr>
        <w:t xml:space="preserve">these stages are achieved in fits and starts </w:t>
      </w:r>
      <w:r w:rsidRPr="003D2718">
        <w:rPr>
          <w:rFonts w:ascii="Maiandra GD" w:hAnsi="Maiandra GD"/>
          <w:szCs w:val="24"/>
        </w:rPr>
        <w:t xml:space="preserve">with developments in medical and professional practices achieving sudden prominence and escalation as a result of </w:t>
      </w:r>
      <w:r w:rsidR="00B83C51" w:rsidRPr="003D2718">
        <w:rPr>
          <w:rFonts w:ascii="Maiandra GD" w:hAnsi="Maiandra GD"/>
          <w:szCs w:val="24"/>
        </w:rPr>
        <w:t>one-</w:t>
      </w:r>
      <w:r w:rsidRPr="003D2718">
        <w:rPr>
          <w:rFonts w:ascii="Maiandra GD" w:hAnsi="Maiandra GD"/>
          <w:szCs w:val="24"/>
        </w:rPr>
        <w:t>off cases which shock the public into consciousness.</w:t>
      </w:r>
    </w:p>
    <w:p w14:paraId="048A9A4E" w14:textId="5063AB2F" w:rsidR="0062704F" w:rsidRPr="003D2718" w:rsidRDefault="0065338E" w:rsidP="00B87A31">
      <w:pPr>
        <w:pStyle w:val="ParaLevel1"/>
        <w:numPr>
          <w:ilvl w:val="0"/>
          <w:numId w:val="0"/>
        </w:numPr>
        <w:spacing w:line="360" w:lineRule="auto"/>
        <w:rPr>
          <w:rFonts w:ascii="Maiandra GD" w:hAnsi="Maiandra GD"/>
          <w:szCs w:val="24"/>
        </w:rPr>
      </w:pPr>
      <w:r w:rsidRPr="003D2718">
        <w:rPr>
          <w:rFonts w:ascii="Maiandra GD" w:hAnsi="Maiandra GD"/>
          <w:szCs w:val="24"/>
        </w:rPr>
        <w:t>One problem in reviewing this area is that there does not appear to be a common definition of what does or does not constitute ‘child abuse’.  Although the term is in widespread use, the behaviour to which it relates may vary from culture to culture and from time to time.  Some suggest that ‘child abuse’ is best considered as a social construction, dependant on time, place and culture</w:t>
      </w:r>
      <w:r w:rsidR="00792D17">
        <w:rPr>
          <w:rStyle w:val="FootnoteReference"/>
          <w:rFonts w:ascii="Maiandra GD" w:hAnsi="Maiandra GD"/>
          <w:szCs w:val="24"/>
        </w:rPr>
        <w:footnoteReference w:id="10"/>
      </w:r>
      <w:r w:rsidRPr="003D2718">
        <w:rPr>
          <w:rFonts w:ascii="Maiandra GD" w:hAnsi="Maiandra GD"/>
          <w:szCs w:val="24"/>
        </w:rPr>
        <w:t>.</w:t>
      </w:r>
      <w:r w:rsidR="00792D17">
        <w:rPr>
          <w:rFonts w:ascii="Maiandra GD" w:hAnsi="Maiandra GD"/>
          <w:szCs w:val="24"/>
        </w:rPr>
        <w:t xml:space="preserve"> </w:t>
      </w:r>
      <w:r w:rsidR="00AC0E4B" w:rsidRPr="003D2718">
        <w:rPr>
          <w:rFonts w:ascii="Maiandra GD" w:hAnsi="Maiandra GD"/>
          <w:szCs w:val="24"/>
        </w:rPr>
        <w:t xml:space="preserve">Thus cultural differences frequently lead to certain practices being viewed as acceptable in one culture, but viewed as abusive by another.  </w:t>
      </w:r>
    </w:p>
    <w:p w14:paraId="658DE7DE" w14:textId="1836ED69" w:rsidR="0065338E" w:rsidRPr="003D2718" w:rsidRDefault="00AC0E4B" w:rsidP="00B87A31">
      <w:pPr>
        <w:pStyle w:val="ParaLevel1"/>
        <w:numPr>
          <w:ilvl w:val="0"/>
          <w:numId w:val="0"/>
        </w:numPr>
        <w:spacing w:line="360" w:lineRule="auto"/>
        <w:rPr>
          <w:rFonts w:ascii="Maiandra GD" w:hAnsi="Maiandra GD"/>
          <w:szCs w:val="24"/>
        </w:rPr>
      </w:pPr>
      <w:r w:rsidRPr="003D2718">
        <w:rPr>
          <w:rFonts w:ascii="Maiandra GD" w:hAnsi="Maiandra GD"/>
          <w:szCs w:val="24"/>
        </w:rPr>
        <w:lastRenderedPageBreak/>
        <w:t>The practice of Female Genital Mutilation provides a striking example.  It is estimated that more than two hundred million girls and women alive today have undergone Female Genital Mutilation.  Forty</w:t>
      </w:r>
      <w:r w:rsidR="00792D17">
        <w:rPr>
          <w:rFonts w:ascii="Maiandra GD" w:hAnsi="Maiandra GD"/>
          <w:szCs w:val="24"/>
        </w:rPr>
        <w:t>-</w:t>
      </w:r>
      <w:r w:rsidRPr="003D2718">
        <w:rPr>
          <w:rFonts w:ascii="Maiandra GD" w:hAnsi="Maiandra GD"/>
          <w:szCs w:val="24"/>
        </w:rPr>
        <w:t>four million are girls below the age of fifteen.  FGM has been documented in thirty countries, mainly in Africa, the Middle East and Asia</w:t>
      </w:r>
      <w:r w:rsidR="00792D17">
        <w:rPr>
          <w:rStyle w:val="FootnoteReference"/>
          <w:rFonts w:ascii="Maiandra GD" w:hAnsi="Maiandra GD"/>
          <w:szCs w:val="24"/>
        </w:rPr>
        <w:footnoteReference w:id="11"/>
      </w:r>
      <w:r w:rsidRPr="003D2718">
        <w:rPr>
          <w:rFonts w:ascii="Maiandra GD" w:hAnsi="Maiandra GD"/>
          <w:szCs w:val="24"/>
        </w:rPr>
        <w:t>.  However, in many Western countries, including this one, FGM is considered to be a form of child abuse [</w:t>
      </w:r>
      <w:r w:rsidR="00F03856">
        <w:rPr>
          <w:rFonts w:ascii="Maiandra GD" w:hAnsi="Maiandra GD"/>
          <w:szCs w:val="24"/>
        </w:rPr>
        <w:t>Female Genital Mutilation Act 2003</w:t>
      </w:r>
      <w:r w:rsidRPr="003D2718">
        <w:rPr>
          <w:rFonts w:ascii="Maiandra GD" w:hAnsi="Maiandra GD"/>
          <w:szCs w:val="24"/>
        </w:rPr>
        <w:t>].</w:t>
      </w:r>
    </w:p>
    <w:p w14:paraId="7AE8E2B2" w14:textId="7BB28B7D" w:rsidR="00AC0E4B" w:rsidRPr="003D2718" w:rsidRDefault="00AC0E4B" w:rsidP="00B87A31">
      <w:pPr>
        <w:pStyle w:val="ParaLevel1"/>
        <w:numPr>
          <w:ilvl w:val="0"/>
          <w:numId w:val="0"/>
        </w:numPr>
        <w:spacing w:line="360" w:lineRule="auto"/>
        <w:rPr>
          <w:rFonts w:ascii="Maiandra GD" w:hAnsi="Maiandra GD"/>
          <w:szCs w:val="24"/>
        </w:rPr>
      </w:pPr>
      <w:r w:rsidRPr="003D2718">
        <w:rPr>
          <w:rFonts w:ascii="Maiandra GD" w:hAnsi="Maiandra GD"/>
          <w:szCs w:val="24"/>
        </w:rPr>
        <w:t>A further example</w:t>
      </w:r>
      <w:r w:rsidR="00F03856">
        <w:rPr>
          <w:rFonts w:ascii="Maiandra GD" w:hAnsi="Maiandra GD"/>
          <w:szCs w:val="24"/>
        </w:rPr>
        <w:t>, going the other way,</w:t>
      </w:r>
      <w:r w:rsidR="00B83C51" w:rsidRPr="003D2718">
        <w:rPr>
          <w:rFonts w:ascii="Maiandra GD" w:hAnsi="Maiandra GD"/>
          <w:szCs w:val="24"/>
        </w:rPr>
        <w:t xml:space="preserve"> is that a</w:t>
      </w:r>
      <w:r w:rsidRPr="003D2718">
        <w:rPr>
          <w:rFonts w:ascii="Maiandra GD" w:hAnsi="Maiandra GD"/>
          <w:szCs w:val="24"/>
        </w:rPr>
        <w:t>ll forms of physical punishment, including corporal punishment, have been banned under the criminal law of Sweden since 1979.  There is no similar blanket ban here or in America.</w:t>
      </w:r>
    </w:p>
    <w:p w14:paraId="712D42E6" w14:textId="7E1AF7B0" w:rsidR="00AC0E4B" w:rsidRPr="003D2718" w:rsidRDefault="00AC0E4B" w:rsidP="00B87A31">
      <w:pPr>
        <w:pStyle w:val="ParaLevel1"/>
        <w:numPr>
          <w:ilvl w:val="0"/>
          <w:numId w:val="0"/>
        </w:numPr>
        <w:spacing w:line="360" w:lineRule="auto"/>
        <w:rPr>
          <w:rFonts w:ascii="Maiandra GD" w:hAnsi="Maiandra GD"/>
          <w:szCs w:val="24"/>
        </w:rPr>
      </w:pPr>
      <w:r w:rsidRPr="003D2718">
        <w:rPr>
          <w:rFonts w:ascii="Maiandra GD" w:hAnsi="Maiandra GD"/>
          <w:szCs w:val="24"/>
        </w:rPr>
        <w:t>Other examples exist, but I think the point is made that, to a degree, the concept of and definition of ‘child abuse’ is culturally constructed.  No one suggests that child abuse is a modern invention or that children were never abused in the past.  It has, during the past century simply been ‘discovered’ and brought to light.</w:t>
      </w:r>
    </w:p>
    <w:p w14:paraId="3CE99554" w14:textId="6837B052" w:rsidR="00E22061" w:rsidRPr="003D2718" w:rsidRDefault="00AC0E4B" w:rsidP="00B87A31">
      <w:pPr>
        <w:pStyle w:val="ParaLevel1"/>
        <w:numPr>
          <w:ilvl w:val="0"/>
          <w:numId w:val="0"/>
        </w:numPr>
        <w:spacing w:line="360" w:lineRule="auto"/>
        <w:rPr>
          <w:rFonts w:ascii="Maiandra GD" w:hAnsi="Maiandra GD"/>
          <w:szCs w:val="24"/>
        </w:rPr>
      </w:pPr>
      <w:r w:rsidRPr="003D2718">
        <w:rPr>
          <w:rFonts w:ascii="Maiandra GD" w:hAnsi="Maiandra GD"/>
          <w:szCs w:val="24"/>
        </w:rPr>
        <w:t xml:space="preserve">That process of ‘discovery’ is itself progressive and developing.  There has been an upsurge in understanding new forms of abuse, particularly in Britain and the USA.  For instance, in the UK’s 2006 Statutory Guidance ‘Working </w:t>
      </w:r>
      <w:r w:rsidR="00B83C51" w:rsidRPr="003D2718">
        <w:rPr>
          <w:rFonts w:ascii="Maiandra GD" w:hAnsi="Maiandra GD"/>
          <w:szCs w:val="24"/>
        </w:rPr>
        <w:t xml:space="preserve">Together </w:t>
      </w:r>
      <w:r w:rsidRPr="003D2718">
        <w:rPr>
          <w:rFonts w:ascii="Maiandra GD" w:hAnsi="Maiandra GD"/>
          <w:szCs w:val="24"/>
        </w:rPr>
        <w:t xml:space="preserve">to </w:t>
      </w:r>
      <w:r w:rsidR="00B83C51" w:rsidRPr="003D2718">
        <w:rPr>
          <w:rFonts w:ascii="Maiandra GD" w:hAnsi="Maiandra GD"/>
          <w:szCs w:val="24"/>
        </w:rPr>
        <w:t>Safeguard Children’</w:t>
      </w:r>
      <w:r w:rsidR="00E22061" w:rsidRPr="003D2718">
        <w:rPr>
          <w:rFonts w:ascii="Maiandra GD" w:hAnsi="Maiandra GD"/>
          <w:szCs w:val="24"/>
        </w:rPr>
        <w:t>, four forms of abuse were noted: physical abuse, emotional abuse, sexual abuse and neglect.  In its most recent, 2018 edition,</w:t>
      </w:r>
      <w:r w:rsidR="00F03856">
        <w:rPr>
          <w:rFonts w:ascii="Maiandra GD" w:hAnsi="Maiandra GD"/>
          <w:szCs w:val="24"/>
        </w:rPr>
        <w:t xml:space="preserve"> just 12 years later,</w:t>
      </w:r>
      <w:r w:rsidR="00E22061" w:rsidRPr="003D2718">
        <w:rPr>
          <w:rFonts w:ascii="Maiandra GD" w:hAnsi="Maiandra GD"/>
          <w:szCs w:val="24"/>
        </w:rPr>
        <w:t xml:space="preserve"> the guidance listed the following </w:t>
      </w:r>
      <w:r w:rsidR="00B83C51" w:rsidRPr="003D2718">
        <w:rPr>
          <w:rFonts w:ascii="Maiandra GD" w:hAnsi="Maiandra GD"/>
          <w:szCs w:val="24"/>
        </w:rPr>
        <w:t xml:space="preserve">nine </w:t>
      </w:r>
      <w:r w:rsidR="00E22061" w:rsidRPr="003D2718">
        <w:rPr>
          <w:rFonts w:ascii="Maiandra GD" w:hAnsi="Maiandra GD"/>
          <w:szCs w:val="24"/>
        </w:rPr>
        <w:t>forms of child abuse: Sexual, physical and emotional abuse; neglect; exploitation by criminal gangs and organised crime groups; trafficking; online abuse; sexual exploitation and the influences of extremism leading to radicalisation</w:t>
      </w:r>
      <w:r w:rsidR="00F03856">
        <w:rPr>
          <w:rStyle w:val="FootnoteReference"/>
          <w:rFonts w:ascii="Maiandra GD" w:hAnsi="Maiandra GD"/>
          <w:szCs w:val="24"/>
        </w:rPr>
        <w:footnoteReference w:id="12"/>
      </w:r>
      <w:r w:rsidR="00E22061" w:rsidRPr="003D2718">
        <w:rPr>
          <w:rFonts w:ascii="Maiandra GD" w:hAnsi="Maiandra GD"/>
          <w:szCs w:val="24"/>
        </w:rPr>
        <w:t>.</w:t>
      </w:r>
    </w:p>
    <w:p w14:paraId="6B9D1C1D" w14:textId="3D70FD00" w:rsidR="00AC0E4B" w:rsidRPr="003D2718" w:rsidRDefault="00E22061" w:rsidP="00B87A31">
      <w:pPr>
        <w:pStyle w:val="ParaLevel1"/>
        <w:numPr>
          <w:ilvl w:val="0"/>
          <w:numId w:val="0"/>
        </w:numPr>
        <w:spacing w:line="360" w:lineRule="auto"/>
        <w:rPr>
          <w:rFonts w:ascii="Maiandra GD" w:hAnsi="Maiandra GD"/>
          <w:szCs w:val="24"/>
        </w:rPr>
      </w:pPr>
      <w:r w:rsidRPr="003D2718">
        <w:rPr>
          <w:rFonts w:ascii="Maiandra GD" w:hAnsi="Maiandra GD"/>
          <w:szCs w:val="24"/>
        </w:rPr>
        <w:t xml:space="preserve">In a report for the Council of Europe in 2003 researchers </w:t>
      </w:r>
      <w:r w:rsidR="00B83C51" w:rsidRPr="003D2718">
        <w:rPr>
          <w:rFonts w:ascii="Maiandra GD" w:hAnsi="Maiandra GD"/>
          <w:szCs w:val="24"/>
        </w:rPr>
        <w:t xml:space="preserve">commented that </w:t>
      </w:r>
      <w:r w:rsidRPr="003D2718">
        <w:rPr>
          <w:rFonts w:ascii="Maiandra GD" w:hAnsi="Maiandra GD"/>
          <w:szCs w:val="24"/>
        </w:rPr>
        <w:t>‘awareness and understanding of the problem [of child abuse] varies from country to country</w:t>
      </w:r>
      <w:r w:rsidR="0035284A" w:rsidRPr="003D2718">
        <w:rPr>
          <w:rFonts w:ascii="Maiandra GD" w:hAnsi="Maiandra GD"/>
          <w:szCs w:val="24"/>
        </w:rPr>
        <w:t>’.  In some countries, due to ‘a backdrop of transition, major social economic difficulties, organised conflict and individual trauma’, the childcare professionals struggled to get issues onto the public agenda.  In others public awareness grew incrementally following each high</w:t>
      </w:r>
      <w:r w:rsidR="00E9768C">
        <w:rPr>
          <w:rFonts w:ascii="Maiandra GD" w:hAnsi="Maiandra GD"/>
          <w:szCs w:val="24"/>
        </w:rPr>
        <w:t>-</w:t>
      </w:r>
      <w:r w:rsidR="0035284A" w:rsidRPr="003D2718">
        <w:rPr>
          <w:rFonts w:ascii="Maiandra GD" w:hAnsi="Maiandra GD"/>
          <w:szCs w:val="24"/>
        </w:rPr>
        <w:t>profile case of child murder, abduction or sexual abuse.</w:t>
      </w:r>
    </w:p>
    <w:p w14:paraId="5796FCF3" w14:textId="073B0A37" w:rsidR="0035284A" w:rsidRPr="003D2718" w:rsidRDefault="0035284A" w:rsidP="00B87A31">
      <w:pPr>
        <w:pStyle w:val="ParaLevel1"/>
        <w:numPr>
          <w:ilvl w:val="0"/>
          <w:numId w:val="0"/>
        </w:numPr>
        <w:spacing w:line="360" w:lineRule="auto"/>
        <w:rPr>
          <w:rFonts w:ascii="Maiandra GD" w:hAnsi="Maiandra GD"/>
          <w:szCs w:val="24"/>
        </w:rPr>
      </w:pPr>
      <w:r w:rsidRPr="003D2718">
        <w:rPr>
          <w:rFonts w:ascii="Maiandra GD" w:hAnsi="Maiandra GD"/>
          <w:szCs w:val="24"/>
        </w:rPr>
        <w:lastRenderedPageBreak/>
        <w:t>At the risk of overgeneralisation, any significant development in a society’s awareness and understanding of child abuse requires two core elements.  Firstly sufficient professional knowledge and acceptance of the form of abuse and, critically, a sufficient level of general public consciousness, which may, on occasions, rise to that level rapidly and immediately following some appalling tragedy.</w:t>
      </w:r>
    </w:p>
    <w:p w14:paraId="5BDA54F1" w14:textId="6A9A6B7A" w:rsidR="004D58CF" w:rsidRPr="003D2718" w:rsidRDefault="004D58CF" w:rsidP="00B87A31">
      <w:pPr>
        <w:pStyle w:val="ParaLevel1"/>
        <w:numPr>
          <w:ilvl w:val="0"/>
          <w:numId w:val="0"/>
        </w:numPr>
        <w:spacing w:line="360" w:lineRule="auto"/>
        <w:rPr>
          <w:rFonts w:ascii="Maiandra GD" w:hAnsi="Maiandra GD"/>
          <w:szCs w:val="24"/>
          <w:u w:val="single"/>
        </w:rPr>
      </w:pPr>
      <w:r w:rsidRPr="003D2718">
        <w:rPr>
          <w:rFonts w:ascii="Maiandra GD" w:hAnsi="Maiandra GD"/>
          <w:szCs w:val="24"/>
          <w:u w:val="single"/>
        </w:rPr>
        <w:t>Emotional abuse</w:t>
      </w:r>
    </w:p>
    <w:p w14:paraId="411A0CD9" w14:textId="1914E834" w:rsidR="004D58CF" w:rsidRPr="003D2718" w:rsidRDefault="004D58CF" w:rsidP="00B87A31">
      <w:pPr>
        <w:pStyle w:val="ParaLevel1"/>
        <w:numPr>
          <w:ilvl w:val="0"/>
          <w:numId w:val="0"/>
        </w:numPr>
        <w:spacing w:line="360" w:lineRule="auto"/>
        <w:rPr>
          <w:rFonts w:ascii="Maiandra GD" w:hAnsi="Maiandra GD"/>
          <w:szCs w:val="24"/>
        </w:rPr>
      </w:pPr>
      <w:r w:rsidRPr="003D2718">
        <w:rPr>
          <w:rFonts w:ascii="Maiandra GD" w:hAnsi="Maiandra GD"/>
          <w:szCs w:val="24"/>
        </w:rPr>
        <w:t xml:space="preserve">Returning to the progress of understanding and awareness in the UK the next topic to consider is that of </w:t>
      </w:r>
      <w:r w:rsidR="00625B53">
        <w:rPr>
          <w:rFonts w:ascii="Maiandra GD" w:hAnsi="Maiandra GD"/>
          <w:szCs w:val="24"/>
        </w:rPr>
        <w:t>‘</w:t>
      </w:r>
      <w:r w:rsidRPr="003D2718">
        <w:rPr>
          <w:rFonts w:ascii="Maiandra GD" w:hAnsi="Maiandra GD"/>
          <w:szCs w:val="24"/>
        </w:rPr>
        <w:t>emotional abuse</w:t>
      </w:r>
      <w:r w:rsidR="00625B53">
        <w:rPr>
          <w:rFonts w:ascii="Maiandra GD" w:hAnsi="Maiandra GD"/>
          <w:szCs w:val="24"/>
        </w:rPr>
        <w:t>’</w:t>
      </w:r>
      <w:r w:rsidRPr="003D2718">
        <w:rPr>
          <w:rFonts w:ascii="Maiandra GD" w:hAnsi="Maiandra GD"/>
          <w:szCs w:val="24"/>
        </w:rPr>
        <w:t xml:space="preserve">.  </w:t>
      </w:r>
    </w:p>
    <w:p w14:paraId="0F378543" w14:textId="7359F7D7" w:rsidR="004D58CF" w:rsidRPr="003D2718" w:rsidRDefault="004D58CF" w:rsidP="00B87A31">
      <w:pPr>
        <w:pStyle w:val="ParaLevel1"/>
        <w:numPr>
          <w:ilvl w:val="0"/>
          <w:numId w:val="0"/>
        </w:numPr>
        <w:spacing w:line="360" w:lineRule="auto"/>
        <w:rPr>
          <w:rFonts w:ascii="Maiandra GD" w:hAnsi="Maiandra GD"/>
          <w:szCs w:val="24"/>
        </w:rPr>
      </w:pPr>
      <w:r w:rsidRPr="003D2718">
        <w:rPr>
          <w:rFonts w:ascii="Maiandra GD" w:hAnsi="Maiandra GD"/>
          <w:szCs w:val="24"/>
        </w:rPr>
        <w:t>Interestingly, given the prominent place that emotional abuse now has in the understanding of all child care professionals, magistrates and judges, it was only in the late 1970s and early 1980s that this form of harm began to be recognised as a freestanding form of abuse.</w:t>
      </w:r>
    </w:p>
    <w:p w14:paraId="5D85E3CC" w14:textId="52CE7C6C" w:rsidR="004D58CF" w:rsidRPr="003D2718" w:rsidRDefault="004D58CF" w:rsidP="00B87A31">
      <w:pPr>
        <w:pStyle w:val="ParaLevel1"/>
        <w:numPr>
          <w:ilvl w:val="0"/>
          <w:numId w:val="0"/>
        </w:numPr>
        <w:spacing w:line="360" w:lineRule="auto"/>
        <w:rPr>
          <w:rFonts w:ascii="Maiandra GD" w:hAnsi="Maiandra GD"/>
          <w:szCs w:val="24"/>
        </w:rPr>
      </w:pPr>
      <w:r w:rsidRPr="003D2718">
        <w:rPr>
          <w:rFonts w:ascii="Maiandra GD" w:hAnsi="Maiandra GD"/>
          <w:szCs w:val="24"/>
        </w:rPr>
        <w:t>In 1978 James Garbarino attempted to define it a ‘the wilful destruction or significant impairment of a child’s competence’</w:t>
      </w:r>
      <w:r w:rsidR="00625B53">
        <w:rPr>
          <w:rStyle w:val="FootnoteReference"/>
          <w:rFonts w:ascii="Maiandra GD" w:hAnsi="Maiandra GD"/>
          <w:szCs w:val="24"/>
        </w:rPr>
        <w:footnoteReference w:id="13"/>
      </w:r>
      <w:r w:rsidRPr="003D2718">
        <w:rPr>
          <w:rFonts w:ascii="Maiandra GD" w:hAnsi="Maiandra GD"/>
          <w:szCs w:val="24"/>
        </w:rPr>
        <w:t>. This, it was said</w:t>
      </w:r>
      <w:r w:rsidR="00B83C51" w:rsidRPr="003D2718">
        <w:rPr>
          <w:rFonts w:ascii="Maiandra GD" w:hAnsi="Maiandra GD"/>
          <w:szCs w:val="24"/>
        </w:rPr>
        <w:t>,</w:t>
      </w:r>
      <w:r w:rsidRPr="003D2718">
        <w:rPr>
          <w:rFonts w:ascii="Maiandra GD" w:hAnsi="Maiandra GD"/>
          <w:szCs w:val="24"/>
        </w:rPr>
        <w:t xml:space="preserve"> could include four aspects:  the punishment of positive behaviours, discouragement of care giver – infant bonding, the punishment of self esteem and the punishment of developing interpersonal skills necessary for use outside the family setting.  Whilst all forms of child abuse will inevitably include a significant element of emotional harm, the acceptance that emotional abuse can occur, without any other form of harm was plainly and important and fully justified step.</w:t>
      </w:r>
    </w:p>
    <w:p w14:paraId="64762831" w14:textId="77777777" w:rsidR="00B83C51" w:rsidRPr="003D2718" w:rsidRDefault="00B83C51" w:rsidP="00B87A31">
      <w:pPr>
        <w:pStyle w:val="ParaLevel1"/>
        <w:numPr>
          <w:ilvl w:val="0"/>
          <w:numId w:val="0"/>
        </w:numPr>
        <w:spacing w:line="360" w:lineRule="auto"/>
        <w:rPr>
          <w:rFonts w:ascii="Maiandra GD" w:hAnsi="Maiandra GD"/>
          <w:szCs w:val="24"/>
          <w:u w:val="single"/>
        </w:rPr>
      </w:pPr>
    </w:p>
    <w:p w14:paraId="2C9A68ED" w14:textId="0C34E65D" w:rsidR="004D58CF" w:rsidRPr="003D2718" w:rsidRDefault="004D58CF" w:rsidP="00B87A31">
      <w:pPr>
        <w:pStyle w:val="ParaLevel1"/>
        <w:numPr>
          <w:ilvl w:val="0"/>
          <w:numId w:val="0"/>
        </w:numPr>
        <w:spacing w:line="360" w:lineRule="auto"/>
        <w:rPr>
          <w:rFonts w:ascii="Maiandra GD" w:hAnsi="Maiandra GD"/>
          <w:szCs w:val="24"/>
          <w:u w:val="single"/>
        </w:rPr>
      </w:pPr>
      <w:r w:rsidRPr="003D2718">
        <w:rPr>
          <w:rFonts w:ascii="Maiandra GD" w:hAnsi="Maiandra GD"/>
          <w:szCs w:val="24"/>
          <w:u w:val="single"/>
        </w:rPr>
        <w:t>Other forms of abuse</w:t>
      </w:r>
    </w:p>
    <w:p w14:paraId="12A4D019" w14:textId="04B769F5" w:rsidR="00E22B51" w:rsidRPr="003D2718" w:rsidRDefault="004D58CF" w:rsidP="00B87A31">
      <w:pPr>
        <w:pStyle w:val="ParaLevel1"/>
        <w:numPr>
          <w:ilvl w:val="0"/>
          <w:numId w:val="0"/>
        </w:numPr>
        <w:spacing w:line="360" w:lineRule="auto"/>
        <w:rPr>
          <w:rFonts w:ascii="Maiandra GD" w:hAnsi="Maiandra GD"/>
          <w:szCs w:val="24"/>
        </w:rPr>
      </w:pPr>
      <w:r w:rsidRPr="003D2718">
        <w:rPr>
          <w:rFonts w:ascii="Maiandra GD" w:hAnsi="Maiandra GD"/>
          <w:szCs w:val="24"/>
        </w:rPr>
        <w:t>For periods during the time since the 1980s other distinct categories of abuse have achieved prominence, for example</w:t>
      </w:r>
      <w:r w:rsidR="00E22B51" w:rsidRPr="003D2718">
        <w:rPr>
          <w:rFonts w:ascii="Maiandra GD" w:hAnsi="Maiandra GD"/>
          <w:szCs w:val="24"/>
        </w:rPr>
        <w:t xml:space="preserve"> the suggestion that groups of children in Rotherham and on the Isle of Orkney were the subject of organised Satanic Abuse.  In another </w:t>
      </w:r>
      <w:r w:rsidR="00E22B51" w:rsidRPr="003D2718">
        <w:rPr>
          <w:rFonts w:ascii="Maiandra GD" w:hAnsi="Maiandra GD"/>
          <w:szCs w:val="24"/>
        </w:rPr>
        <w:lastRenderedPageBreak/>
        <w:t>context, cases of alleged ‘Munchausen’s syndrome by proxy’ were diagnosed in prominent numbers in the 1980s and 90s.  [complete this paragraph]</w:t>
      </w:r>
    </w:p>
    <w:p w14:paraId="0B688884" w14:textId="65DF6594" w:rsidR="00AC3794" w:rsidRPr="003D2718" w:rsidRDefault="00AC3794" w:rsidP="00B87A31">
      <w:pPr>
        <w:pStyle w:val="ParaLevel1"/>
        <w:numPr>
          <w:ilvl w:val="0"/>
          <w:numId w:val="0"/>
        </w:numPr>
        <w:spacing w:line="360" w:lineRule="auto"/>
        <w:rPr>
          <w:rFonts w:ascii="Maiandra GD" w:hAnsi="Maiandra GD"/>
          <w:szCs w:val="24"/>
        </w:rPr>
      </w:pPr>
      <w:r w:rsidRPr="003D2718">
        <w:rPr>
          <w:rFonts w:ascii="Maiandra GD" w:hAnsi="Maiandra GD"/>
          <w:szCs w:val="24"/>
        </w:rPr>
        <w:t>In the first part of this lecture I have concentrated on the concept of ‘abuse’ and described, in broad terms, the development in our understanding of the sorts of behaviour, astonishingly, some human beings are capable of exhibiting towards children.  From the perspective of a family judge, however, the category of abuse, whatever it may be, is of secondary importance to the harm, or likelihood of harm that the impact of such abuse may have on the particular child before the court.</w:t>
      </w:r>
    </w:p>
    <w:p w14:paraId="4648D082" w14:textId="24DCE58F" w:rsidR="00AC3794" w:rsidRPr="003D2718" w:rsidRDefault="00AC3794" w:rsidP="00B87A31">
      <w:pPr>
        <w:pStyle w:val="ParaLevel1"/>
        <w:numPr>
          <w:ilvl w:val="0"/>
          <w:numId w:val="0"/>
        </w:numPr>
        <w:spacing w:line="360" w:lineRule="auto"/>
        <w:rPr>
          <w:rFonts w:ascii="Maiandra GD" w:hAnsi="Maiandra GD"/>
          <w:szCs w:val="24"/>
        </w:rPr>
      </w:pPr>
      <w:r w:rsidRPr="003D2718">
        <w:rPr>
          <w:rFonts w:ascii="Maiandra GD" w:hAnsi="Maiandra GD"/>
          <w:szCs w:val="24"/>
        </w:rPr>
        <w:t xml:space="preserve">As Sir Alan Ward famously said in </w:t>
      </w:r>
      <w:r w:rsidR="00775090">
        <w:rPr>
          <w:rFonts w:ascii="Maiandra GD" w:hAnsi="Maiandra GD"/>
          <w:szCs w:val="24"/>
        </w:rPr>
        <w:t>1990, in every case there will be ‘a spectrum of abuse and an index of harm</w:t>
      </w:r>
      <w:r w:rsidR="00D84739">
        <w:rPr>
          <w:rFonts w:ascii="Maiandra GD" w:hAnsi="Maiandra GD"/>
          <w:szCs w:val="24"/>
        </w:rPr>
        <w:t>’.</w:t>
      </w:r>
    </w:p>
    <w:p w14:paraId="17BF78E0" w14:textId="3022B70E" w:rsidR="00AC3794" w:rsidRPr="003D2718" w:rsidRDefault="00AC3794" w:rsidP="00B87A31">
      <w:pPr>
        <w:pStyle w:val="ParaLevel1"/>
        <w:numPr>
          <w:ilvl w:val="0"/>
          <w:numId w:val="0"/>
        </w:numPr>
        <w:spacing w:line="360" w:lineRule="auto"/>
        <w:rPr>
          <w:rFonts w:ascii="Maiandra GD" w:hAnsi="Maiandra GD"/>
          <w:szCs w:val="24"/>
        </w:rPr>
      </w:pPr>
      <w:r w:rsidRPr="003D2718">
        <w:rPr>
          <w:rFonts w:ascii="Maiandra GD" w:hAnsi="Maiandra GD"/>
          <w:szCs w:val="24"/>
        </w:rPr>
        <w:t>The alteration in focus from abuse to harm is mirrored in the change of language as between the C</w:t>
      </w:r>
      <w:r w:rsidR="008F48A7" w:rsidRPr="003D2718">
        <w:rPr>
          <w:rFonts w:ascii="Maiandra GD" w:hAnsi="Maiandra GD"/>
          <w:szCs w:val="24"/>
        </w:rPr>
        <w:t>hildren and Young P</w:t>
      </w:r>
      <w:r w:rsidRPr="003D2718">
        <w:rPr>
          <w:rFonts w:ascii="Maiandra GD" w:hAnsi="Maiandra GD"/>
          <w:szCs w:val="24"/>
        </w:rPr>
        <w:t>ersons Act 1969</w:t>
      </w:r>
      <w:r w:rsidR="008F48A7" w:rsidRPr="003D2718">
        <w:rPr>
          <w:rFonts w:ascii="Maiandra GD" w:hAnsi="Maiandra GD"/>
          <w:szCs w:val="24"/>
        </w:rPr>
        <w:t xml:space="preserve"> which gave jurisdiction to the court to make a care order where </w:t>
      </w:r>
      <w:r w:rsidR="000D4C92">
        <w:rPr>
          <w:rFonts w:ascii="Maiandra GD" w:hAnsi="Maiandra GD"/>
          <w:szCs w:val="24"/>
        </w:rPr>
        <w:t>there was an impairment in a child’s development because it was being avoidably prevented or neglected, or he was exposed to moral danger or beyond parental control. This is</w:t>
      </w:r>
      <w:r w:rsidR="008F48A7" w:rsidRPr="003D2718">
        <w:rPr>
          <w:rFonts w:ascii="Maiandra GD" w:hAnsi="Maiandra GD"/>
          <w:szCs w:val="24"/>
        </w:rPr>
        <w:t xml:space="preserve"> in </w:t>
      </w:r>
      <w:r w:rsidR="000D4C92">
        <w:rPr>
          <w:rFonts w:ascii="Maiandra GD" w:hAnsi="Maiandra GD"/>
          <w:szCs w:val="24"/>
        </w:rPr>
        <w:t xml:space="preserve">stark </w:t>
      </w:r>
      <w:r w:rsidR="008F48A7" w:rsidRPr="003D2718">
        <w:rPr>
          <w:rFonts w:ascii="Maiandra GD" w:hAnsi="Maiandra GD"/>
          <w:szCs w:val="24"/>
        </w:rPr>
        <w:t xml:space="preserve">contrast to the Children Act 1989 where the focus is, as is well known, upon ‘significant </w:t>
      </w:r>
      <w:r w:rsidR="008F48A7" w:rsidRPr="00D255E1">
        <w:rPr>
          <w:rFonts w:ascii="Maiandra GD" w:hAnsi="Maiandra GD"/>
          <w:szCs w:val="24"/>
          <w:u w:val="single"/>
        </w:rPr>
        <w:t>harm</w:t>
      </w:r>
      <w:r w:rsidR="008F48A7" w:rsidRPr="003D2718">
        <w:rPr>
          <w:rFonts w:ascii="Maiandra GD" w:hAnsi="Maiandra GD"/>
          <w:szCs w:val="24"/>
        </w:rPr>
        <w:t>’.</w:t>
      </w:r>
    </w:p>
    <w:p w14:paraId="0841FD78" w14:textId="3ACF77B3" w:rsidR="00E22B51" w:rsidRPr="003D2718" w:rsidRDefault="008F48A7" w:rsidP="00B87A31">
      <w:pPr>
        <w:pStyle w:val="ParaLevel1"/>
        <w:numPr>
          <w:ilvl w:val="0"/>
          <w:numId w:val="0"/>
        </w:numPr>
        <w:spacing w:line="360" w:lineRule="auto"/>
        <w:rPr>
          <w:rFonts w:ascii="Maiandra GD" w:hAnsi="Maiandra GD"/>
          <w:szCs w:val="24"/>
        </w:rPr>
      </w:pPr>
      <w:r w:rsidRPr="003D2718">
        <w:rPr>
          <w:rFonts w:ascii="Maiandra GD" w:hAnsi="Maiandra GD"/>
          <w:szCs w:val="24"/>
        </w:rPr>
        <w:t xml:space="preserve">This shift away from simply looking at the </w:t>
      </w:r>
      <w:r w:rsidRPr="00D255E1">
        <w:rPr>
          <w:rFonts w:ascii="Maiandra GD" w:hAnsi="Maiandra GD"/>
          <w:szCs w:val="24"/>
          <w:u w:val="single"/>
        </w:rPr>
        <w:t>behaviour</w:t>
      </w:r>
      <w:r w:rsidRPr="003D2718">
        <w:rPr>
          <w:rFonts w:ascii="Maiandra GD" w:hAnsi="Maiandra GD"/>
          <w:szCs w:val="24"/>
        </w:rPr>
        <w:t xml:space="preserve"> of the perpetrator to, instead, considering the </w:t>
      </w:r>
      <w:r w:rsidRPr="00D255E1">
        <w:rPr>
          <w:rFonts w:ascii="Maiandra GD" w:hAnsi="Maiandra GD"/>
          <w:szCs w:val="24"/>
          <w:u w:val="single"/>
        </w:rPr>
        <w:t>harm</w:t>
      </w:r>
      <w:r w:rsidRPr="003D2718">
        <w:rPr>
          <w:rFonts w:ascii="Maiandra GD" w:hAnsi="Maiandra GD"/>
          <w:szCs w:val="24"/>
        </w:rPr>
        <w:t xml:space="preserve"> </w:t>
      </w:r>
      <w:r w:rsidR="00D255E1">
        <w:rPr>
          <w:rFonts w:ascii="Maiandra GD" w:hAnsi="Maiandra GD"/>
          <w:szCs w:val="24"/>
        </w:rPr>
        <w:t>to</w:t>
      </w:r>
      <w:r w:rsidRPr="003D2718">
        <w:rPr>
          <w:rFonts w:ascii="Maiandra GD" w:hAnsi="Maiandra GD"/>
          <w:szCs w:val="24"/>
        </w:rPr>
        <w:t xml:space="preserve"> the victim that that behaviour causes is mirrored elsewhere.  For example</w:t>
      </w:r>
      <w:r w:rsidR="00D255E1">
        <w:rPr>
          <w:rFonts w:ascii="Maiandra GD" w:hAnsi="Maiandra GD"/>
          <w:szCs w:val="24"/>
        </w:rPr>
        <w:t>,</w:t>
      </w:r>
      <w:r w:rsidRPr="003D2718">
        <w:rPr>
          <w:rFonts w:ascii="Maiandra GD" w:hAnsi="Maiandra GD"/>
          <w:szCs w:val="24"/>
        </w:rPr>
        <w:t xml:space="preserve"> as a young barrister one would frequently apply for ‘a domestic violence injunction’ under the Domestic Violence and Matrimonial Proceedings Act 19… and find that the concern of the judge was</w:t>
      </w:r>
      <w:r w:rsidR="00D255E1">
        <w:rPr>
          <w:rFonts w:ascii="Maiandra GD" w:hAnsi="Maiandra GD"/>
          <w:szCs w:val="24"/>
        </w:rPr>
        <w:t xml:space="preserve"> solely</w:t>
      </w:r>
      <w:r w:rsidRPr="003D2718">
        <w:rPr>
          <w:rFonts w:ascii="Maiandra GD" w:hAnsi="Maiandra GD"/>
          <w:szCs w:val="24"/>
        </w:rPr>
        <w:t xml:space="preserve"> upon whether a physical assault had taken place and, if so, whether the resulting physical injury was significant or not.  Now, the concept of ‘domestic abuse’ is, rightly, altogether more widely drawn so as to encompass emotional harm even where, and perhaps particularly where, there may have been no physical assault at all.</w:t>
      </w:r>
    </w:p>
    <w:p w14:paraId="61A21105" w14:textId="4DBF803B" w:rsidR="008F48A7" w:rsidRPr="003D2718" w:rsidRDefault="008F48A7" w:rsidP="00B87A31">
      <w:pPr>
        <w:pStyle w:val="ParaLevel1"/>
        <w:numPr>
          <w:ilvl w:val="0"/>
          <w:numId w:val="0"/>
        </w:numPr>
        <w:spacing w:line="360" w:lineRule="auto"/>
        <w:rPr>
          <w:rFonts w:ascii="Maiandra GD" w:hAnsi="Maiandra GD"/>
          <w:szCs w:val="24"/>
        </w:rPr>
      </w:pPr>
      <w:r w:rsidRPr="003D2718">
        <w:rPr>
          <w:rFonts w:ascii="Maiandra GD" w:hAnsi="Maiandra GD"/>
          <w:szCs w:val="24"/>
        </w:rPr>
        <w:t xml:space="preserve">This movement from focus on the perpetrator’s behaviour to concentration on the harm that that behaviour causes has been slow in its development and can traced back through the past century and beyond.  The Prevention of Cruelty </w:t>
      </w:r>
      <w:r w:rsidR="00170358" w:rsidRPr="003D2718">
        <w:rPr>
          <w:rFonts w:ascii="Maiandra GD" w:hAnsi="Maiandra GD"/>
          <w:szCs w:val="24"/>
        </w:rPr>
        <w:t>to Children Act 1889 had, as the primary mechanism for bringing children into care</w:t>
      </w:r>
      <w:r w:rsidR="00D255E1">
        <w:rPr>
          <w:rFonts w:ascii="Maiandra GD" w:hAnsi="Maiandra GD"/>
          <w:szCs w:val="24"/>
        </w:rPr>
        <w:t>,</w:t>
      </w:r>
      <w:r w:rsidR="00170358" w:rsidRPr="003D2718">
        <w:rPr>
          <w:rFonts w:ascii="Maiandra GD" w:hAnsi="Maiandra GD"/>
          <w:szCs w:val="24"/>
        </w:rPr>
        <w:t xml:space="preserve"> the making of a ‘fit </w:t>
      </w:r>
      <w:r w:rsidR="00170358" w:rsidRPr="003D2718">
        <w:rPr>
          <w:rFonts w:ascii="Maiandra GD" w:hAnsi="Maiandra GD"/>
          <w:szCs w:val="24"/>
        </w:rPr>
        <w:lastRenderedPageBreak/>
        <w:t>person order’ where a person considered suitable by the court could assume responsibility for a child in need of care and protection.  The fit person could be a corporate body, for example the local social services department.  So far as one can tell, the turning point in the decision making under the 1889 Act was a determination that a parent was not a ‘fit person’.  There is no reference in the provisions of that Act to any harm, or otherwise, to the child concerned.</w:t>
      </w:r>
    </w:p>
    <w:p w14:paraId="6719123B" w14:textId="75B0A549" w:rsidR="00170358" w:rsidRPr="003D2718" w:rsidRDefault="00170358" w:rsidP="00B87A31">
      <w:pPr>
        <w:pStyle w:val="ParaLevel1"/>
        <w:numPr>
          <w:ilvl w:val="0"/>
          <w:numId w:val="0"/>
        </w:numPr>
        <w:spacing w:line="360" w:lineRule="auto"/>
        <w:rPr>
          <w:rFonts w:ascii="Maiandra GD" w:hAnsi="Maiandra GD"/>
          <w:szCs w:val="24"/>
        </w:rPr>
      </w:pPr>
      <w:r w:rsidRPr="003D2718">
        <w:rPr>
          <w:rFonts w:ascii="Maiandra GD" w:hAnsi="Maiandra GD"/>
          <w:szCs w:val="24"/>
        </w:rPr>
        <w:t>It was only with the advent of the CYPA 1969 that ‘fit person orders’ were removed from the statute book and replaced with a new concept, namely ‘a care order’.</w:t>
      </w:r>
    </w:p>
    <w:p w14:paraId="14C1E76B" w14:textId="66F5C084" w:rsidR="00170358" w:rsidRPr="003D2718" w:rsidRDefault="00170358" w:rsidP="00B87A31">
      <w:pPr>
        <w:pStyle w:val="ParaLevel1"/>
        <w:numPr>
          <w:ilvl w:val="0"/>
          <w:numId w:val="0"/>
        </w:numPr>
        <w:spacing w:line="360" w:lineRule="auto"/>
        <w:rPr>
          <w:rFonts w:ascii="Maiandra GD" w:hAnsi="Maiandra GD"/>
          <w:szCs w:val="24"/>
        </w:rPr>
      </w:pPr>
      <w:r w:rsidRPr="003D2718">
        <w:rPr>
          <w:rFonts w:ascii="Maiandra GD" w:hAnsi="Maiandra GD"/>
          <w:szCs w:val="24"/>
        </w:rPr>
        <w:t>The real turning point in this movement towards predominance of the concept of ‘harm’ was, of course, the Children Act 1989.  It has its origins in a working party report of July 1984 from the Department of Health and Social Security</w:t>
      </w:r>
      <w:r w:rsidR="00D9237A" w:rsidRPr="003D2718">
        <w:rPr>
          <w:rFonts w:ascii="Maiandra GD" w:hAnsi="Maiandra GD"/>
          <w:szCs w:val="24"/>
        </w:rPr>
        <w:t xml:space="preserve"> which recommended that ‘the primary </w:t>
      </w:r>
      <w:r w:rsidR="00922902" w:rsidRPr="003D2718">
        <w:rPr>
          <w:rFonts w:ascii="Maiandra GD" w:hAnsi="Maiandra GD"/>
          <w:szCs w:val="24"/>
        </w:rPr>
        <w:t xml:space="preserve">justification for the state to initiate proceedings seeking compulsory powers is </w:t>
      </w:r>
      <w:r w:rsidR="00790D46" w:rsidRPr="003D2718">
        <w:rPr>
          <w:rFonts w:ascii="Maiandra GD" w:hAnsi="Maiandra GD"/>
          <w:szCs w:val="24"/>
        </w:rPr>
        <w:t xml:space="preserve">actual or likely harm to the child.’  Various elements in the definition of ‘harm’ were put forward by the working party, but the word’ harm’ was not qualified by any adjective.  It was only </w:t>
      </w:r>
      <w:r w:rsidR="00D255E1">
        <w:rPr>
          <w:rFonts w:ascii="Maiandra GD" w:hAnsi="Maiandra GD"/>
          <w:szCs w:val="24"/>
        </w:rPr>
        <w:t xml:space="preserve">in Parliament, </w:t>
      </w:r>
      <w:r w:rsidR="00790D46" w:rsidRPr="003D2718">
        <w:rPr>
          <w:rFonts w:ascii="Maiandra GD" w:hAnsi="Maiandra GD"/>
          <w:szCs w:val="24"/>
        </w:rPr>
        <w:t>during the report stage of the Children Bill</w:t>
      </w:r>
      <w:r w:rsidR="00D255E1">
        <w:rPr>
          <w:rFonts w:ascii="Maiandra GD" w:hAnsi="Maiandra GD"/>
          <w:szCs w:val="24"/>
        </w:rPr>
        <w:t>,</w:t>
      </w:r>
      <w:r w:rsidR="00790D46" w:rsidRPr="003D2718">
        <w:rPr>
          <w:rFonts w:ascii="Maiandra GD" w:hAnsi="Maiandra GD"/>
          <w:szCs w:val="24"/>
        </w:rPr>
        <w:t xml:space="preserve"> that the term ‘significant harm’ was adopted.</w:t>
      </w:r>
    </w:p>
    <w:p w14:paraId="070F2801" w14:textId="77777777" w:rsidR="009A5D20" w:rsidRDefault="00790D46" w:rsidP="00B87A31">
      <w:pPr>
        <w:pStyle w:val="ParaLevel1"/>
        <w:numPr>
          <w:ilvl w:val="0"/>
          <w:numId w:val="0"/>
        </w:numPr>
        <w:spacing w:line="360" w:lineRule="auto"/>
        <w:rPr>
          <w:rFonts w:ascii="Maiandra GD" w:hAnsi="Maiandra GD"/>
          <w:szCs w:val="24"/>
        </w:rPr>
      </w:pPr>
      <w:r w:rsidRPr="003D2718">
        <w:rPr>
          <w:rFonts w:ascii="Maiandra GD" w:hAnsi="Maiandra GD"/>
          <w:szCs w:val="24"/>
        </w:rPr>
        <w:t xml:space="preserve">In this </w:t>
      </w:r>
      <w:r w:rsidR="00D255E1">
        <w:rPr>
          <w:rFonts w:ascii="Maiandra GD" w:hAnsi="Maiandra GD"/>
          <w:szCs w:val="24"/>
        </w:rPr>
        <w:t>30</w:t>
      </w:r>
      <w:r w:rsidR="00D255E1" w:rsidRPr="00D255E1">
        <w:rPr>
          <w:rFonts w:ascii="Maiandra GD" w:hAnsi="Maiandra GD"/>
          <w:szCs w:val="24"/>
          <w:vertAlign w:val="superscript"/>
        </w:rPr>
        <w:t>th</w:t>
      </w:r>
      <w:r w:rsidR="00D255E1">
        <w:rPr>
          <w:rFonts w:ascii="Maiandra GD" w:hAnsi="Maiandra GD"/>
          <w:szCs w:val="24"/>
        </w:rPr>
        <w:t xml:space="preserve"> </w:t>
      </w:r>
      <w:r w:rsidRPr="003D2718">
        <w:rPr>
          <w:rFonts w:ascii="Maiandra GD" w:hAnsi="Maiandra GD"/>
          <w:szCs w:val="24"/>
        </w:rPr>
        <w:t xml:space="preserve">anniversary year following the implementation of the Children Act 1989, it has been of interest to look back at some of the parliamentary debates which were so inspirationally led by the then Lord Chancellor, Lord Mackay of Clashfern. </w:t>
      </w:r>
    </w:p>
    <w:p w14:paraId="7ACC4934" w14:textId="14EA997E" w:rsidR="00790D46" w:rsidRPr="003D2718" w:rsidRDefault="00790D46" w:rsidP="00B87A31">
      <w:pPr>
        <w:pStyle w:val="ParaLevel1"/>
        <w:numPr>
          <w:ilvl w:val="0"/>
          <w:numId w:val="0"/>
        </w:numPr>
        <w:spacing w:line="360" w:lineRule="auto"/>
        <w:rPr>
          <w:rFonts w:ascii="Maiandra GD" w:hAnsi="Maiandra GD"/>
          <w:szCs w:val="24"/>
        </w:rPr>
      </w:pPr>
      <w:r w:rsidRPr="003D2718">
        <w:rPr>
          <w:rFonts w:ascii="Maiandra GD" w:hAnsi="Maiandra GD"/>
          <w:szCs w:val="24"/>
        </w:rPr>
        <w:t>Once the word ‘significant’ had been tabled, there was debate as to whether or not it required some additional definition within the Act.  Lord Mackay was not in favour.  He said, with regard to ‘significant’, ‘I could only do that in other words, and every word is open to some form of construction.  I believe that the word ‘significant’ in this context will signify for a court the kind of threshold that would be right for intervention by an outside body.  A merely small matter that could have no consequences would not be significant.  Anything that was likely to produce consequences for the child would be good enough.’</w:t>
      </w:r>
    </w:p>
    <w:p w14:paraId="2C851072" w14:textId="6C7AEECD" w:rsidR="00790D46" w:rsidRPr="003D2718" w:rsidRDefault="00790D46" w:rsidP="00B87A31">
      <w:pPr>
        <w:pStyle w:val="ParaLevel1"/>
        <w:numPr>
          <w:ilvl w:val="0"/>
          <w:numId w:val="0"/>
        </w:numPr>
        <w:spacing w:line="360" w:lineRule="auto"/>
        <w:rPr>
          <w:rFonts w:ascii="Maiandra GD" w:hAnsi="Maiandra GD"/>
          <w:szCs w:val="24"/>
        </w:rPr>
      </w:pPr>
      <w:r w:rsidRPr="003D2718">
        <w:rPr>
          <w:rFonts w:ascii="Maiandra GD" w:hAnsi="Maiandra GD"/>
          <w:szCs w:val="24"/>
        </w:rPr>
        <w:lastRenderedPageBreak/>
        <w:t>How right he was.  Professionals and courts soon became used to operating the ‘threshold criteria’ of significant harm and it remains the applicable standard today, with no suggestion that it should be amended in any way.</w:t>
      </w:r>
    </w:p>
    <w:p w14:paraId="432815A6" w14:textId="0E5032BC" w:rsidR="00790D46" w:rsidRDefault="00790D46" w:rsidP="00B87A31">
      <w:pPr>
        <w:pStyle w:val="ParaLevel1"/>
        <w:numPr>
          <w:ilvl w:val="0"/>
          <w:numId w:val="0"/>
        </w:numPr>
        <w:spacing w:line="360" w:lineRule="auto"/>
        <w:rPr>
          <w:rFonts w:ascii="Maiandra GD" w:hAnsi="Maiandra GD"/>
          <w:szCs w:val="24"/>
        </w:rPr>
      </w:pPr>
      <w:r w:rsidRPr="003D2718">
        <w:rPr>
          <w:rFonts w:ascii="Maiandra GD" w:hAnsi="Maiandra GD"/>
          <w:szCs w:val="24"/>
        </w:rPr>
        <w:t>Just as the understanding within society, the professions</w:t>
      </w:r>
      <w:r w:rsidR="006C375C" w:rsidRPr="003D2718">
        <w:rPr>
          <w:rFonts w:ascii="Maiandra GD" w:hAnsi="Maiandra GD"/>
          <w:szCs w:val="24"/>
        </w:rPr>
        <w:t xml:space="preserve"> and the courts with respect to abuse has developed, so too has understanding with respect to the concept of ‘harm’.  </w:t>
      </w:r>
      <w:r w:rsidR="006C375C" w:rsidRPr="00155698">
        <w:rPr>
          <w:rFonts w:ascii="Maiandra GD" w:hAnsi="Maiandra GD"/>
          <w:szCs w:val="24"/>
        </w:rPr>
        <w:t xml:space="preserve">Most significantly, in my view, this is demonstrated with respect to ‘emotional harm’.  Here, the seminal case is that of </w:t>
      </w:r>
      <w:r w:rsidR="00DD1114">
        <w:rPr>
          <w:rFonts w:ascii="Maiandra GD" w:hAnsi="Maiandra GD"/>
          <w:i/>
          <w:szCs w:val="24"/>
        </w:rPr>
        <w:t xml:space="preserve">Re L and others (Contact: Domestic Violence) </w:t>
      </w:r>
      <w:r w:rsidR="00DD1114">
        <w:rPr>
          <w:rFonts w:ascii="Maiandra GD" w:hAnsi="Maiandra GD"/>
          <w:szCs w:val="24"/>
        </w:rPr>
        <w:t>[2000] 2 FLR 334, a decision of the Court of Appeal presided over by the then President of the Family Division, Dame Elizabeth Butler-Sloss</w:t>
      </w:r>
      <w:r w:rsidR="00FA6969">
        <w:rPr>
          <w:rFonts w:ascii="Maiandra GD" w:hAnsi="Maiandra GD"/>
          <w:szCs w:val="24"/>
        </w:rPr>
        <w:t>.</w:t>
      </w:r>
    </w:p>
    <w:p w14:paraId="35B700A2" w14:textId="3CC96A74" w:rsidR="00FA6969" w:rsidRDefault="00FA6969" w:rsidP="00B87A31">
      <w:pPr>
        <w:pStyle w:val="ParaLevel1"/>
        <w:numPr>
          <w:ilvl w:val="0"/>
          <w:numId w:val="0"/>
        </w:numPr>
        <w:spacing w:line="360" w:lineRule="auto"/>
        <w:rPr>
          <w:rFonts w:ascii="Maiandra GD" w:hAnsi="Maiandra GD"/>
          <w:szCs w:val="24"/>
        </w:rPr>
      </w:pPr>
      <w:r>
        <w:rPr>
          <w:rFonts w:ascii="Maiandra GD" w:hAnsi="Maiandra GD"/>
          <w:szCs w:val="24"/>
        </w:rPr>
        <w:t xml:space="preserve">The court in </w:t>
      </w:r>
      <w:r>
        <w:rPr>
          <w:rFonts w:ascii="Maiandra GD" w:hAnsi="Maiandra GD"/>
          <w:i/>
          <w:szCs w:val="24"/>
        </w:rPr>
        <w:t xml:space="preserve">Re L, </w:t>
      </w:r>
      <w:r>
        <w:rPr>
          <w:rFonts w:ascii="Maiandra GD" w:hAnsi="Maiandra GD"/>
          <w:szCs w:val="24"/>
        </w:rPr>
        <w:t>with the benefit of advice in a joint report from two eminent child psychiatrists, Dr Glaser and Dr Sturge, held that there was a need for a change in the approach of family courts to issues of domestic violence. Dame Eliza</w:t>
      </w:r>
      <w:r w:rsidR="00B24DB4">
        <w:rPr>
          <w:rFonts w:ascii="Maiandra GD" w:hAnsi="Maiandra GD"/>
          <w:szCs w:val="24"/>
        </w:rPr>
        <w:t xml:space="preserve">beth said this: </w:t>
      </w:r>
    </w:p>
    <w:p w14:paraId="1605B178" w14:textId="6DB8D19E" w:rsidR="00B24DB4" w:rsidRPr="00B24DB4" w:rsidRDefault="00B24DB4" w:rsidP="00B24DB4">
      <w:pPr>
        <w:pStyle w:val="ParaLevel1"/>
        <w:numPr>
          <w:ilvl w:val="0"/>
          <w:numId w:val="0"/>
        </w:numPr>
        <w:spacing w:line="360" w:lineRule="auto"/>
        <w:ind w:left="567"/>
        <w:rPr>
          <w:rFonts w:ascii="Maiandra GD" w:hAnsi="Maiandra GD"/>
          <w:szCs w:val="24"/>
        </w:rPr>
      </w:pPr>
      <w:r w:rsidRPr="00B24DB4">
        <w:rPr>
          <w:rFonts w:ascii="Maiandra GD" w:hAnsi="Maiandra GD"/>
          <w:szCs w:val="24"/>
        </w:rPr>
        <w:t>‘The fa</w:t>
      </w:r>
      <w:r>
        <w:rPr>
          <w:rFonts w:ascii="Maiandra GD" w:hAnsi="Maiandra GD"/>
          <w:szCs w:val="24"/>
        </w:rPr>
        <w:t xml:space="preserve">mily judges and magistrates need to have a heightened awareness of the existence of </w:t>
      </w:r>
      <w:r w:rsidR="0019767F">
        <w:rPr>
          <w:rFonts w:ascii="Maiandra GD" w:hAnsi="Maiandra GD"/>
          <w:szCs w:val="24"/>
        </w:rPr>
        <w:t xml:space="preserve">and </w:t>
      </w:r>
      <w:r>
        <w:rPr>
          <w:rFonts w:ascii="Maiandra GD" w:hAnsi="Maiandra GD"/>
          <w:szCs w:val="24"/>
        </w:rPr>
        <w:t xml:space="preserve">consequences (some long term) on children of exposure to domestic violence between their parents and other partners. There has, perhaps, been a tendency in the past for courts not to tackle allegations of violence and to leave them in the background on the premise that they were matters affecting the adults and not relevant </w:t>
      </w:r>
      <w:r w:rsidR="00571131">
        <w:rPr>
          <w:rFonts w:ascii="Maiandra GD" w:hAnsi="Maiandra GD"/>
          <w:szCs w:val="24"/>
        </w:rPr>
        <w:t>to issues regarding the children. The general principle that contact with the non-resident parent is in the interests of the child may sometimes have discouraged sufficient attention being paid to the adverse effects on children living in the household where violence has occurred. It may not necessarily be widely appreciated that violence to a partner involves a significant failure in parenting – failure to protect the child’s care and failure to protect the child emotionally.</w:t>
      </w:r>
      <w:r w:rsidR="0019767F">
        <w:rPr>
          <w:rFonts w:ascii="Maiandra GD" w:hAnsi="Maiandra GD"/>
          <w:szCs w:val="24"/>
        </w:rPr>
        <w:t>’</w:t>
      </w:r>
    </w:p>
    <w:p w14:paraId="7AC09FF7" w14:textId="01E40EC2" w:rsidR="00645149" w:rsidRDefault="006C375C" w:rsidP="00B87A31">
      <w:pPr>
        <w:pStyle w:val="ParaLevel1"/>
        <w:numPr>
          <w:ilvl w:val="0"/>
          <w:numId w:val="0"/>
        </w:numPr>
        <w:spacing w:line="360" w:lineRule="auto"/>
        <w:rPr>
          <w:rFonts w:ascii="Maiandra GD" w:hAnsi="Maiandra GD"/>
          <w:szCs w:val="24"/>
        </w:rPr>
      </w:pPr>
      <w:r w:rsidRPr="003D2718">
        <w:rPr>
          <w:rFonts w:ascii="Maiandra GD" w:hAnsi="Maiandra GD"/>
          <w:szCs w:val="24"/>
        </w:rPr>
        <w:t xml:space="preserve">It is hard to underestimate the importance of that single decision.  </w:t>
      </w:r>
      <w:r w:rsidR="00645149">
        <w:rPr>
          <w:rFonts w:ascii="Maiandra GD" w:hAnsi="Maiandra GD"/>
          <w:szCs w:val="24"/>
        </w:rPr>
        <w:t>Dame Elizabeth’s judgment</w:t>
      </w:r>
      <w:r w:rsidRPr="003D2718">
        <w:rPr>
          <w:rFonts w:ascii="Maiandra GD" w:hAnsi="Maiandra GD"/>
          <w:szCs w:val="24"/>
        </w:rPr>
        <w:t xml:space="preserve"> brought together, crystallised and broadcast thinking with respect to emotional harm that had been developing over previous years.  It provided an authoritative statement that the emotional impact on children of the behaviour of their parents, whether or not that might, in old fashioned ways, have been seen to be directly abusive, was of significant importance.  </w:t>
      </w:r>
    </w:p>
    <w:p w14:paraId="0501EB5D" w14:textId="3401AA76" w:rsidR="006C375C" w:rsidRPr="003D2718" w:rsidRDefault="006C375C" w:rsidP="00B87A31">
      <w:pPr>
        <w:pStyle w:val="ParaLevel1"/>
        <w:numPr>
          <w:ilvl w:val="0"/>
          <w:numId w:val="0"/>
        </w:numPr>
        <w:spacing w:line="360" w:lineRule="auto"/>
        <w:rPr>
          <w:rFonts w:ascii="Maiandra GD" w:hAnsi="Maiandra GD"/>
          <w:szCs w:val="24"/>
        </w:rPr>
      </w:pPr>
      <w:r w:rsidRPr="003D2718">
        <w:rPr>
          <w:rFonts w:ascii="Maiandra GD" w:hAnsi="Maiandra GD"/>
          <w:szCs w:val="24"/>
        </w:rPr>
        <w:lastRenderedPageBreak/>
        <w:t xml:space="preserve">As is often the case in this field, where the courts have led, </w:t>
      </w:r>
      <w:r w:rsidR="00C60B49">
        <w:rPr>
          <w:rFonts w:ascii="Maiandra GD" w:hAnsi="Maiandra GD"/>
          <w:szCs w:val="24"/>
        </w:rPr>
        <w:t>P</w:t>
      </w:r>
      <w:r w:rsidRPr="003D2718">
        <w:rPr>
          <w:rFonts w:ascii="Maiandra GD" w:hAnsi="Maiandra GD"/>
          <w:szCs w:val="24"/>
        </w:rPr>
        <w:t>arliament has followed.  Thus it was that in January 2005</w:t>
      </w:r>
      <w:r w:rsidR="0019767F">
        <w:rPr>
          <w:rFonts w:ascii="Maiandra GD" w:hAnsi="Maiandra GD"/>
          <w:szCs w:val="24"/>
        </w:rPr>
        <w:t>, s</w:t>
      </w:r>
      <w:r w:rsidRPr="003D2718">
        <w:rPr>
          <w:rFonts w:ascii="Maiandra GD" w:hAnsi="Maiandra GD"/>
          <w:szCs w:val="24"/>
        </w:rPr>
        <w:t xml:space="preserve"> 120 of the Adoption and Children Act 2002 was brought into force so as to widen the concept of </w:t>
      </w:r>
      <w:r w:rsidR="00B83C51" w:rsidRPr="003D2718">
        <w:rPr>
          <w:rFonts w:ascii="Maiandra GD" w:hAnsi="Maiandra GD"/>
          <w:szCs w:val="24"/>
        </w:rPr>
        <w:t xml:space="preserve">‘harm’ in the Children Act 1989 to include emotional harm suffered by those children who witnessed domestic abuse or who are </w:t>
      </w:r>
      <w:r w:rsidR="00782935" w:rsidRPr="003D2718">
        <w:rPr>
          <w:rFonts w:ascii="Maiandra GD" w:hAnsi="Maiandra GD"/>
          <w:szCs w:val="24"/>
        </w:rPr>
        <w:t>aware of domestic abuse</w:t>
      </w:r>
      <w:r w:rsidR="007350A5" w:rsidRPr="003D2718">
        <w:rPr>
          <w:rFonts w:ascii="Maiandra GD" w:hAnsi="Maiandra GD"/>
          <w:szCs w:val="24"/>
        </w:rPr>
        <w:t xml:space="preserve"> within their home environment.</w:t>
      </w:r>
    </w:p>
    <w:p w14:paraId="281822CC" w14:textId="57CA50AB" w:rsidR="007350A5" w:rsidRDefault="007350A5" w:rsidP="00B87A31">
      <w:pPr>
        <w:pStyle w:val="ParaLevel1"/>
        <w:numPr>
          <w:ilvl w:val="0"/>
          <w:numId w:val="0"/>
        </w:numPr>
        <w:spacing w:line="360" w:lineRule="auto"/>
        <w:rPr>
          <w:rFonts w:ascii="Maiandra GD" w:hAnsi="Maiandra GD"/>
          <w:szCs w:val="24"/>
        </w:rPr>
      </w:pPr>
      <w:r w:rsidRPr="003D2718">
        <w:rPr>
          <w:rFonts w:ascii="Maiandra GD" w:hAnsi="Maiandra GD"/>
          <w:szCs w:val="24"/>
        </w:rPr>
        <w:t xml:space="preserve">Looking forward the Domestic Abuse Bill, which was before the last </w:t>
      </w:r>
      <w:r w:rsidR="009E0DDF">
        <w:rPr>
          <w:rFonts w:ascii="Maiandra GD" w:hAnsi="Maiandra GD"/>
          <w:szCs w:val="24"/>
        </w:rPr>
        <w:t>P</w:t>
      </w:r>
      <w:r w:rsidRPr="003D2718">
        <w:rPr>
          <w:rFonts w:ascii="Maiandra GD" w:hAnsi="Maiandra GD"/>
          <w:szCs w:val="24"/>
        </w:rPr>
        <w:t>arliament, but which failed to complete its stages prior to dissolution, seeks to extend the definition of domestic abuse to include</w:t>
      </w:r>
      <w:r w:rsidR="009E0DDF">
        <w:rPr>
          <w:rFonts w:ascii="Maiandra GD" w:hAnsi="Maiandra GD"/>
          <w:szCs w:val="24"/>
        </w:rPr>
        <w:t xml:space="preserve">: </w:t>
      </w:r>
    </w:p>
    <w:p w14:paraId="0785967A" w14:textId="7B4C8DEE" w:rsidR="009E0DDF" w:rsidRDefault="009E0DDF" w:rsidP="009E0DDF">
      <w:pPr>
        <w:pStyle w:val="ParaLevel1"/>
        <w:numPr>
          <w:ilvl w:val="0"/>
          <w:numId w:val="12"/>
        </w:numPr>
        <w:spacing w:line="360" w:lineRule="auto"/>
        <w:rPr>
          <w:rFonts w:ascii="Maiandra GD" w:hAnsi="Maiandra GD"/>
          <w:szCs w:val="24"/>
        </w:rPr>
      </w:pPr>
      <w:r>
        <w:rPr>
          <w:rFonts w:ascii="Maiandra GD" w:hAnsi="Maiandra GD"/>
          <w:szCs w:val="24"/>
        </w:rPr>
        <w:t>physical or sexual abuse;</w:t>
      </w:r>
    </w:p>
    <w:p w14:paraId="05B77B9C" w14:textId="216FB5BC" w:rsidR="009E0DDF" w:rsidRDefault="009E0DDF" w:rsidP="009E0DDF">
      <w:pPr>
        <w:pStyle w:val="ParaLevel1"/>
        <w:numPr>
          <w:ilvl w:val="0"/>
          <w:numId w:val="12"/>
        </w:numPr>
        <w:spacing w:line="360" w:lineRule="auto"/>
        <w:rPr>
          <w:rFonts w:ascii="Maiandra GD" w:hAnsi="Maiandra GD"/>
          <w:szCs w:val="24"/>
        </w:rPr>
      </w:pPr>
      <w:r>
        <w:rPr>
          <w:rFonts w:ascii="Maiandra GD" w:hAnsi="Maiandra GD"/>
          <w:szCs w:val="24"/>
        </w:rPr>
        <w:t>violent or threatening behaviour;</w:t>
      </w:r>
    </w:p>
    <w:p w14:paraId="4F395A2C" w14:textId="30CBE07F" w:rsidR="009E0DDF" w:rsidRDefault="009E0DDF" w:rsidP="009E0DDF">
      <w:pPr>
        <w:pStyle w:val="ParaLevel1"/>
        <w:numPr>
          <w:ilvl w:val="0"/>
          <w:numId w:val="12"/>
        </w:numPr>
        <w:spacing w:line="360" w:lineRule="auto"/>
        <w:rPr>
          <w:rFonts w:ascii="Maiandra GD" w:hAnsi="Maiandra GD"/>
          <w:szCs w:val="24"/>
        </w:rPr>
      </w:pPr>
      <w:r>
        <w:rPr>
          <w:rFonts w:ascii="Maiandra GD" w:hAnsi="Maiandra GD"/>
          <w:szCs w:val="24"/>
        </w:rPr>
        <w:t>controlling or coercive behaviour;</w:t>
      </w:r>
    </w:p>
    <w:p w14:paraId="18702608" w14:textId="704AF2B5" w:rsidR="009E0DDF" w:rsidRDefault="00181F11" w:rsidP="009E0DDF">
      <w:pPr>
        <w:pStyle w:val="ParaLevel1"/>
        <w:numPr>
          <w:ilvl w:val="0"/>
          <w:numId w:val="12"/>
        </w:numPr>
        <w:spacing w:line="360" w:lineRule="auto"/>
        <w:rPr>
          <w:rFonts w:ascii="Maiandra GD" w:hAnsi="Maiandra GD"/>
          <w:szCs w:val="24"/>
        </w:rPr>
      </w:pPr>
      <w:r>
        <w:rPr>
          <w:rFonts w:ascii="Maiandra GD" w:hAnsi="Maiandra GD"/>
          <w:szCs w:val="24"/>
        </w:rPr>
        <w:t>economic abuse; and</w:t>
      </w:r>
    </w:p>
    <w:p w14:paraId="064DF654" w14:textId="3DF1143D" w:rsidR="00181F11" w:rsidRPr="003D2718" w:rsidRDefault="00181F11" w:rsidP="009E0DDF">
      <w:pPr>
        <w:pStyle w:val="ParaLevel1"/>
        <w:numPr>
          <w:ilvl w:val="0"/>
          <w:numId w:val="12"/>
        </w:numPr>
        <w:spacing w:line="360" w:lineRule="auto"/>
        <w:rPr>
          <w:rFonts w:ascii="Maiandra GD" w:hAnsi="Maiandra GD"/>
          <w:szCs w:val="24"/>
        </w:rPr>
      </w:pPr>
      <w:r>
        <w:rPr>
          <w:rFonts w:ascii="Maiandra GD" w:hAnsi="Maiandra GD"/>
          <w:szCs w:val="24"/>
        </w:rPr>
        <w:t>psychological, emotional or other abuse.</w:t>
      </w:r>
    </w:p>
    <w:p w14:paraId="7FD45DE5" w14:textId="106E0EA4" w:rsidR="007350A5" w:rsidRPr="003D2718" w:rsidRDefault="00181F11" w:rsidP="00B87A31">
      <w:pPr>
        <w:pStyle w:val="ParaLevel1"/>
        <w:numPr>
          <w:ilvl w:val="0"/>
          <w:numId w:val="0"/>
        </w:numPr>
        <w:spacing w:line="360" w:lineRule="auto"/>
        <w:rPr>
          <w:rFonts w:ascii="Maiandra GD" w:hAnsi="Maiandra GD"/>
          <w:szCs w:val="24"/>
        </w:rPr>
      </w:pPr>
      <w:r>
        <w:rPr>
          <w:rFonts w:ascii="Maiandra GD" w:hAnsi="Maiandra GD"/>
          <w:szCs w:val="24"/>
        </w:rPr>
        <w:t>The importance of this draft definition is that it puts on a statutory footing the approach to domestic abuse that is already being taken by family magistrates and judges up and down the country every day of the week.</w:t>
      </w:r>
    </w:p>
    <w:p w14:paraId="7438A287" w14:textId="777857F9" w:rsidR="007350A5" w:rsidRPr="003D2718" w:rsidRDefault="007350A5" w:rsidP="00B87A31">
      <w:pPr>
        <w:pStyle w:val="ParaLevel1"/>
        <w:numPr>
          <w:ilvl w:val="0"/>
          <w:numId w:val="0"/>
        </w:numPr>
        <w:spacing w:line="360" w:lineRule="auto"/>
        <w:rPr>
          <w:rFonts w:ascii="Maiandra GD" w:hAnsi="Maiandra GD"/>
          <w:szCs w:val="24"/>
        </w:rPr>
      </w:pPr>
      <w:r w:rsidRPr="003D2718">
        <w:rPr>
          <w:rFonts w:ascii="Maiandra GD" w:hAnsi="Maiandra GD"/>
          <w:szCs w:val="24"/>
        </w:rPr>
        <w:t xml:space="preserve">The concept of harm has continued to evolve as courts face modern day issues which were almost certainly not within the contemplation of those who drafted the Children Act, only </w:t>
      </w:r>
      <w:r w:rsidR="008779DE">
        <w:rPr>
          <w:rFonts w:ascii="Maiandra GD" w:hAnsi="Maiandra GD"/>
          <w:szCs w:val="24"/>
        </w:rPr>
        <w:t>30</w:t>
      </w:r>
      <w:r w:rsidRPr="003D2718">
        <w:rPr>
          <w:rFonts w:ascii="Maiandra GD" w:hAnsi="Maiandra GD"/>
          <w:szCs w:val="24"/>
        </w:rPr>
        <w:t xml:space="preserve"> years ago.  For example, in the case of </w:t>
      </w:r>
      <w:r w:rsidRPr="008779DE">
        <w:rPr>
          <w:rFonts w:ascii="Maiandra GD" w:hAnsi="Maiandra GD"/>
          <w:i/>
          <w:szCs w:val="24"/>
        </w:rPr>
        <w:t>Re M (Children)</w:t>
      </w:r>
      <w:r w:rsidRPr="003D2718">
        <w:rPr>
          <w:rFonts w:ascii="Maiandra GD" w:hAnsi="Maiandra GD"/>
          <w:szCs w:val="24"/>
        </w:rPr>
        <w:t xml:space="preserve"> [2017] EWCA Civ 2164, the Court of Appeal considered the risk of psychological harm to children from living with a transgender parent.  In a different context the Family Division of the High Court has extended the umbrella of its inherent jurisdiction to provide protection for children who have been, or are likely to be, radicalised as a result of parents who seek to travel to areas of the world controlled by Islamist extremist organisations.  In such a radicalisation case, Hayden J commented</w:t>
      </w:r>
      <w:r w:rsidR="00886521">
        <w:rPr>
          <w:rStyle w:val="FootnoteReference"/>
          <w:rFonts w:ascii="Maiandra GD" w:hAnsi="Maiandra GD"/>
          <w:szCs w:val="24"/>
        </w:rPr>
        <w:footnoteReference w:id="14"/>
      </w:r>
      <w:r w:rsidRPr="003D2718">
        <w:rPr>
          <w:rFonts w:ascii="Maiandra GD" w:hAnsi="Maiandra GD"/>
          <w:szCs w:val="24"/>
        </w:rPr>
        <w:t xml:space="preserve">: </w:t>
      </w:r>
    </w:p>
    <w:p w14:paraId="334E821B" w14:textId="39B13385" w:rsidR="007350A5" w:rsidRPr="003D2718" w:rsidRDefault="007350A5" w:rsidP="00B87A31">
      <w:pPr>
        <w:pStyle w:val="Quote"/>
        <w:spacing w:line="360" w:lineRule="auto"/>
        <w:rPr>
          <w:rFonts w:ascii="Maiandra GD" w:hAnsi="Maiandra GD"/>
          <w:szCs w:val="24"/>
        </w:rPr>
      </w:pPr>
      <w:r w:rsidRPr="003D2718">
        <w:rPr>
          <w:rFonts w:ascii="Maiandra GD" w:hAnsi="Maiandra GD"/>
          <w:szCs w:val="24"/>
        </w:rPr>
        <w:lastRenderedPageBreak/>
        <w:t xml:space="preserve">“The family court system, particularly the Family Division is, and always has been, in my view, in the </w:t>
      </w:r>
      <w:r w:rsidR="000758B5" w:rsidRPr="003D2718">
        <w:rPr>
          <w:rFonts w:ascii="Maiandra GD" w:hAnsi="Maiandra GD"/>
          <w:szCs w:val="24"/>
        </w:rPr>
        <w:t>vanguard of change in life and society.  Where there are changes in medicine or in technology or cultural change, so often they resonate first within the family.  Here, the type of harm I have been asked to evaluate is a different facet of vulnerability for children that that which the courts had to deal with in the past.</w:t>
      </w:r>
      <w:r w:rsidRPr="003D2718">
        <w:rPr>
          <w:rFonts w:ascii="Maiandra GD" w:hAnsi="Maiandra GD"/>
          <w:szCs w:val="24"/>
        </w:rPr>
        <w:t>”</w:t>
      </w:r>
      <w:r w:rsidR="000758B5" w:rsidRPr="003D2718">
        <w:rPr>
          <w:rFonts w:ascii="Maiandra GD" w:hAnsi="Maiandra GD"/>
          <w:szCs w:val="24"/>
        </w:rPr>
        <w:t xml:space="preserve"> </w:t>
      </w:r>
      <w:r w:rsidR="000758B5" w:rsidRPr="003D2718">
        <w:rPr>
          <w:rStyle w:val="FootnoteReference"/>
          <w:rFonts w:ascii="Maiandra GD" w:hAnsi="Maiandra GD"/>
          <w:szCs w:val="24"/>
        </w:rPr>
        <w:footnoteReference w:id="15"/>
      </w:r>
    </w:p>
    <w:p w14:paraId="55F37F6C" w14:textId="6AEDA479" w:rsidR="0065338E" w:rsidRDefault="000758B5" w:rsidP="00B87A31">
      <w:pPr>
        <w:pStyle w:val="ParaLevel1"/>
        <w:numPr>
          <w:ilvl w:val="0"/>
          <w:numId w:val="0"/>
        </w:numPr>
        <w:spacing w:line="360" w:lineRule="auto"/>
        <w:rPr>
          <w:rFonts w:ascii="Maiandra GD" w:hAnsi="Maiandra GD"/>
          <w:szCs w:val="24"/>
        </w:rPr>
      </w:pPr>
      <w:r w:rsidRPr="003D2718">
        <w:rPr>
          <w:rFonts w:ascii="Maiandra GD" w:hAnsi="Maiandra GD"/>
          <w:szCs w:val="24"/>
        </w:rPr>
        <w:t xml:space="preserve">In a further, and different, development by the Children Act 1989 (Amendment) (Female Genital Mutilation) Act 2019, the Female Genital Mutilation Act 2003 is now included within the </w:t>
      </w:r>
      <w:r w:rsidR="00A807C6" w:rsidRPr="003D2718">
        <w:rPr>
          <w:rFonts w:ascii="Maiandra GD" w:hAnsi="Maiandra GD"/>
          <w:szCs w:val="24"/>
        </w:rPr>
        <w:t>definition of family proceedings so that a court may now make an interim care order where FGM has occurred, rather than, as was the position previously, simply relying upon the criminal law to protect the child.</w:t>
      </w:r>
    </w:p>
    <w:p w14:paraId="39CBB782" w14:textId="6F31DF86" w:rsidR="00886521" w:rsidRPr="00886521" w:rsidRDefault="00886521" w:rsidP="00B87A31">
      <w:pPr>
        <w:pStyle w:val="ParaLevel1"/>
        <w:numPr>
          <w:ilvl w:val="0"/>
          <w:numId w:val="0"/>
        </w:numPr>
        <w:spacing w:line="360" w:lineRule="auto"/>
        <w:rPr>
          <w:rFonts w:ascii="Maiandra GD" w:hAnsi="Maiandra GD"/>
          <w:szCs w:val="24"/>
          <w:u w:val="single"/>
        </w:rPr>
      </w:pPr>
      <w:r>
        <w:rPr>
          <w:rFonts w:ascii="Maiandra GD" w:hAnsi="Maiandra GD"/>
          <w:szCs w:val="24"/>
          <w:u w:val="single"/>
        </w:rPr>
        <w:t>Conclusion</w:t>
      </w:r>
    </w:p>
    <w:p w14:paraId="13EDC442" w14:textId="1C8090EB" w:rsidR="00A807C6" w:rsidRPr="003D2718" w:rsidRDefault="00A807C6" w:rsidP="00B87A31">
      <w:pPr>
        <w:pStyle w:val="ParaLevel1"/>
        <w:numPr>
          <w:ilvl w:val="0"/>
          <w:numId w:val="0"/>
        </w:numPr>
        <w:spacing w:line="360" w:lineRule="auto"/>
        <w:rPr>
          <w:rFonts w:ascii="Maiandra GD" w:hAnsi="Maiandra GD"/>
          <w:szCs w:val="24"/>
        </w:rPr>
      </w:pPr>
      <w:r w:rsidRPr="003D2718">
        <w:rPr>
          <w:rFonts w:ascii="Maiandra GD" w:hAnsi="Maiandra GD"/>
          <w:szCs w:val="24"/>
        </w:rPr>
        <w:t>I hope that this</w:t>
      </w:r>
      <w:r w:rsidR="00C7405F" w:rsidRPr="003D2718">
        <w:rPr>
          <w:rFonts w:ascii="Maiandra GD" w:hAnsi="Maiandra GD"/>
          <w:szCs w:val="24"/>
        </w:rPr>
        <w:t xml:space="preserve"> historical review has been of interest – if not, I hope you may have slept well during the last forty-five minutes!  The importance of looking back and observing the journey that society has undertaken over the past fifty or more years, coinciding with the professional and political life of Baroness Butler-Sloss, is that it demonstrates just how little we all knew only a few decades ago.  Activity which we would now readily regard as abusive by modern standards, was being played out in plain sight before our very eyes, yet not recognised as such at the time.  If proof were needed that this was the case, one only has to contemplate all that has followed the death of Jimmy Saville, the many historical sexual abuse prosecutions that have been heard in the Crown Court and the painstaking investigations which are currently being undertaken by the Independent Child Sexual Abuse Inquiry [check name].</w:t>
      </w:r>
    </w:p>
    <w:p w14:paraId="1DC1E726" w14:textId="7F2FAA01" w:rsidR="00C7405F" w:rsidRDefault="00C7405F" w:rsidP="00B87A31">
      <w:pPr>
        <w:pStyle w:val="ParaLevel1"/>
        <w:numPr>
          <w:ilvl w:val="0"/>
          <w:numId w:val="0"/>
        </w:numPr>
        <w:spacing w:line="360" w:lineRule="auto"/>
        <w:rPr>
          <w:rFonts w:ascii="Maiandra GD" w:hAnsi="Maiandra GD"/>
          <w:szCs w:val="24"/>
        </w:rPr>
      </w:pPr>
      <w:r w:rsidRPr="003D2718">
        <w:rPr>
          <w:rFonts w:ascii="Maiandra GD" w:hAnsi="Maiandra GD"/>
          <w:szCs w:val="24"/>
        </w:rPr>
        <w:t xml:space="preserve">As the developing history readily demonstrates, there is no ground for us, meeting as we do in 2019, to be complacent.  There is no basis for thinking that our current understanding demonstrates that, at last, ‘we have got it right’ and that we will not </w:t>
      </w:r>
      <w:r w:rsidRPr="003D2718">
        <w:rPr>
          <w:rFonts w:ascii="Maiandra GD" w:hAnsi="Maiandra GD"/>
          <w:szCs w:val="24"/>
        </w:rPr>
        <w:lastRenderedPageBreak/>
        <w:t>learn more in the future.  On the contrary, one of the great interests of a life practicing in family law is the confidence with which one can predict that, in the future we will undoubtedly know more</w:t>
      </w:r>
      <w:r w:rsidR="00886521">
        <w:rPr>
          <w:rFonts w:ascii="Maiandra GD" w:hAnsi="Maiandra GD"/>
          <w:szCs w:val="24"/>
        </w:rPr>
        <w:t>,</w:t>
      </w:r>
      <w:r w:rsidRPr="003D2718">
        <w:rPr>
          <w:rFonts w:ascii="Maiandra GD" w:hAnsi="Maiandra GD"/>
          <w:szCs w:val="24"/>
        </w:rPr>
        <w:t xml:space="preserve"> and understand more</w:t>
      </w:r>
      <w:r w:rsidR="00886521">
        <w:rPr>
          <w:rFonts w:ascii="Maiandra GD" w:hAnsi="Maiandra GD"/>
          <w:szCs w:val="24"/>
        </w:rPr>
        <w:t>,</w:t>
      </w:r>
      <w:r w:rsidRPr="003D2718">
        <w:rPr>
          <w:rFonts w:ascii="Maiandra GD" w:hAnsi="Maiandra GD"/>
          <w:szCs w:val="24"/>
        </w:rPr>
        <w:t xml:space="preserve"> than we do now.</w:t>
      </w:r>
    </w:p>
    <w:p w14:paraId="6299D41C" w14:textId="426B17CE" w:rsidR="00D32964" w:rsidRDefault="00D32964" w:rsidP="00B87A31">
      <w:pPr>
        <w:pStyle w:val="ParaLevel1"/>
        <w:numPr>
          <w:ilvl w:val="0"/>
          <w:numId w:val="0"/>
        </w:numPr>
        <w:spacing w:line="360" w:lineRule="auto"/>
        <w:rPr>
          <w:rFonts w:ascii="Maiandra GD" w:hAnsi="Maiandra GD"/>
          <w:szCs w:val="24"/>
        </w:rPr>
      </w:pPr>
    </w:p>
    <w:p w14:paraId="217D0750" w14:textId="5CA69310" w:rsidR="00D32964" w:rsidRDefault="00D32964" w:rsidP="00D32964">
      <w:pPr>
        <w:pStyle w:val="ParaLevel1"/>
        <w:numPr>
          <w:ilvl w:val="0"/>
          <w:numId w:val="0"/>
        </w:numPr>
        <w:jc w:val="right"/>
        <w:rPr>
          <w:rFonts w:ascii="Maiandra GD" w:hAnsi="Maiandra GD"/>
          <w:szCs w:val="24"/>
        </w:rPr>
      </w:pPr>
      <w:r>
        <w:rPr>
          <w:rFonts w:ascii="Maiandra GD" w:hAnsi="Maiandra GD"/>
          <w:szCs w:val="24"/>
        </w:rPr>
        <w:t>Sir Andrew McFarlane</w:t>
      </w:r>
    </w:p>
    <w:p w14:paraId="7D64B14A" w14:textId="6DAA9968" w:rsidR="00D32964" w:rsidRDefault="00D32964" w:rsidP="00D32964">
      <w:pPr>
        <w:pStyle w:val="ParaLevel1"/>
        <w:numPr>
          <w:ilvl w:val="0"/>
          <w:numId w:val="0"/>
        </w:numPr>
        <w:jc w:val="right"/>
        <w:rPr>
          <w:rFonts w:ascii="Maiandra GD" w:hAnsi="Maiandra GD"/>
          <w:szCs w:val="24"/>
        </w:rPr>
      </w:pPr>
      <w:r>
        <w:rPr>
          <w:rFonts w:ascii="Maiandra GD" w:hAnsi="Maiandra GD"/>
          <w:szCs w:val="24"/>
        </w:rPr>
        <w:t>President of the Family Division</w:t>
      </w:r>
    </w:p>
    <w:p w14:paraId="44CC0C0A" w14:textId="4AE8F17E" w:rsidR="00D32964" w:rsidRPr="003D2718" w:rsidRDefault="00D32964" w:rsidP="00D32964">
      <w:pPr>
        <w:pStyle w:val="ParaLevel1"/>
        <w:numPr>
          <w:ilvl w:val="0"/>
          <w:numId w:val="0"/>
        </w:numPr>
        <w:jc w:val="right"/>
        <w:rPr>
          <w:rFonts w:ascii="Maiandra GD" w:hAnsi="Maiandra GD"/>
          <w:szCs w:val="24"/>
        </w:rPr>
      </w:pPr>
      <w:r>
        <w:rPr>
          <w:rFonts w:ascii="Maiandra GD" w:hAnsi="Maiandra GD"/>
          <w:szCs w:val="24"/>
        </w:rPr>
        <w:t>22</w:t>
      </w:r>
      <w:r w:rsidRPr="00D32964">
        <w:rPr>
          <w:rFonts w:ascii="Maiandra GD" w:hAnsi="Maiandra GD"/>
          <w:szCs w:val="24"/>
          <w:vertAlign w:val="superscript"/>
        </w:rPr>
        <w:t>nd</w:t>
      </w:r>
      <w:r>
        <w:rPr>
          <w:rFonts w:ascii="Maiandra GD" w:hAnsi="Maiandra GD"/>
          <w:szCs w:val="24"/>
        </w:rPr>
        <w:t xml:space="preserve"> November 2019</w:t>
      </w:r>
    </w:p>
    <w:p w14:paraId="25FC562F" w14:textId="77777777" w:rsidR="00D32964" w:rsidRPr="003D2718" w:rsidRDefault="00D32964">
      <w:pPr>
        <w:pStyle w:val="ParaLevel1"/>
        <w:numPr>
          <w:ilvl w:val="0"/>
          <w:numId w:val="0"/>
        </w:numPr>
        <w:jc w:val="right"/>
        <w:rPr>
          <w:rFonts w:ascii="Maiandra GD" w:hAnsi="Maiandra GD"/>
          <w:szCs w:val="24"/>
        </w:rPr>
      </w:pPr>
    </w:p>
    <w:sectPr w:rsidR="00D32964" w:rsidRPr="003D2718" w:rsidSect="00E86431">
      <w:headerReference w:type="default" r:id="rId12"/>
      <w:footerReference w:type="default" r:id="rId13"/>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4EFB2" w14:textId="77777777" w:rsidR="005F0676" w:rsidRDefault="005F0676">
      <w:r>
        <w:separator/>
      </w:r>
    </w:p>
  </w:endnote>
  <w:endnote w:type="continuationSeparator" w:id="0">
    <w:p w14:paraId="29486B0A" w14:textId="77777777" w:rsidR="005F0676" w:rsidRDefault="005F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1)">
    <w:altName w:val="Arial"/>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1F07" w14:textId="77777777" w:rsidR="005E2342" w:rsidRDefault="005E2342">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936220"/>
      <w:docPartObj>
        <w:docPartGallery w:val="Page Numbers (Bottom of Page)"/>
        <w:docPartUnique/>
      </w:docPartObj>
    </w:sdtPr>
    <w:sdtEndPr>
      <w:rPr>
        <w:noProof/>
      </w:rPr>
    </w:sdtEndPr>
    <w:sdtContent>
      <w:p w14:paraId="5CBEDB2B" w14:textId="33A275CC" w:rsidR="008C4ED7" w:rsidRDefault="008C4ED7">
        <w:pPr>
          <w:pStyle w:val="Footer"/>
          <w:jc w:val="center"/>
        </w:pPr>
        <w:r>
          <w:fldChar w:fldCharType="begin"/>
        </w:r>
        <w:r>
          <w:instrText xml:space="preserve"> PAGE   \* MERGEFORMAT </w:instrText>
        </w:r>
        <w:r>
          <w:fldChar w:fldCharType="separate"/>
        </w:r>
        <w:r w:rsidR="002B7C3E">
          <w:rPr>
            <w:noProof/>
          </w:rPr>
          <w:t>20</w:t>
        </w:r>
        <w:r>
          <w:rPr>
            <w:noProof/>
          </w:rPr>
          <w:fldChar w:fldCharType="end"/>
        </w:r>
      </w:p>
    </w:sdtContent>
  </w:sdt>
  <w:p w14:paraId="0A15BB00" w14:textId="77777777" w:rsidR="005E2342" w:rsidRPr="00E86431" w:rsidRDefault="005E2342" w:rsidP="00E86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8209D" w14:textId="77777777" w:rsidR="005F0676" w:rsidRDefault="005F0676">
      <w:r>
        <w:separator/>
      </w:r>
    </w:p>
  </w:footnote>
  <w:footnote w:type="continuationSeparator" w:id="0">
    <w:p w14:paraId="08C72C0C" w14:textId="77777777" w:rsidR="005F0676" w:rsidRDefault="005F0676">
      <w:r>
        <w:continuationSeparator/>
      </w:r>
    </w:p>
  </w:footnote>
  <w:footnote w:id="1">
    <w:p w14:paraId="79D96CE8" w14:textId="7CFE2DE4" w:rsidR="003601FF" w:rsidRDefault="003601FF">
      <w:pPr>
        <w:pStyle w:val="FootnoteText"/>
      </w:pPr>
      <w:r>
        <w:rPr>
          <w:rStyle w:val="FootnoteReference"/>
        </w:rPr>
        <w:footnoteRef/>
      </w:r>
      <w:r>
        <w:t xml:space="preserve"> </w:t>
      </w:r>
      <w:r w:rsidR="00B6752D">
        <w:rPr>
          <w:sz w:val="19"/>
          <w:szCs w:val="19"/>
        </w:rPr>
        <w:t xml:space="preserve">Lloyd Demause, ‘The History of Child Abuse’ (1998) 25(3) </w:t>
      </w:r>
      <w:r w:rsidR="00B6752D">
        <w:rPr>
          <w:i/>
          <w:iCs/>
          <w:sz w:val="19"/>
          <w:szCs w:val="19"/>
        </w:rPr>
        <w:t xml:space="preserve">The Journal of Psychohistory </w:t>
      </w:r>
      <w:r w:rsidR="00B6752D">
        <w:rPr>
          <w:sz w:val="19"/>
          <w:szCs w:val="19"/>
        </w:rPr>
        <w:t>233</w:t>
      </w:r>
    </w:p>
  </w:footnote>
  <w:footnote w:id="2">
    <w:p w14:paraId="4D9EDFC1" w14:textId="5CB15AB8" w:rsidR="00667EBC" w:rsidRDefault="00667EBC">
      <w:pPr>
        <w:pStyle w:val="FootnoteText"/>
      </w:pPr>
      <w:r>
        <w:rPr>
          <w:rStyle w:val="FootnoteReference"/>
        </w:rPr>
        <w:footnoteRef/>
      </w:r>
      <w:r>
        <w:t xml:space="preserve"> </w:t>
      </w:r>
      <w:r>
        <w:rPr>
          <w:sz w:val="19"/>
          <w:szCs w:val="19"/>
        </w:rPr>
        <w:t xml:space="preserve">Stephen J. Pfohl, ‘The “Discovery” of Child abuse’ (1977) 24(3) </w:t>
      </w:r>
      <w:r>
        <w:rPr>
          <w:i/>
          <w:iCs/>
          <w:sz w:val="19"/>
          <w:szCs w:val="19"/>
        </w:rPr>
        <w:t xml:space="preserve">Social Problems </w:t>
      </w:r>
      <w:r>
        <w:rPr>
          <w:sz w:val="19"/>
          <w:szCs w:val="19"/>
        </w:rPr>
        <w:t>310, 312</w:t>
      </w:r>
    </w:p>
  </w:footnote>
  <w:footnote w:id="3">
    <w:p w14:paraId="1E3142A8" w14:textId="7670A3CF" w:rsidR="0032234B" w:rsidRDefault="0032234B">
      <w:pPr>
        <w:pStyle w:val="FootnoteText"/>
      </w:pPr>
      <w:r>
        <w:rPr>
          <w:rStyle w:val="FootnoteReference"/>
        </w:rPr>
        <w:footnoteRef/>
      </w:r>
      <w:r>
        <w:t xml:space="preserve"> </w:t>
      </w:r>
      <w:r>
        <w:rPr>
          <w:sz w:val="19"/>
          <w:szCs w:val="19"/>
        </w:rPr>
        <w:t xml:space="preserve">Paul V. Woolley Jr., William A. Evans Jr., ‘Significance of skeletal lesions in infants resembling those of traumatic origin’ (1955) 158(7) </w:t>
      </w:r>
      <w:r>
        <w:rPr>
          <w:i/>
          <w:iCs/>
          <w:sz w:val="19"/>
          <w:szCs w:val="19"/>
        </w:rPr>
        <w:t xml:space="preserve">Journal of the American Medical Association </w:t>
      </w:r>
      <w:r>
        <w:rPr>
          <w:sz w:val="19"/>
          <w:szCs w:val="19"/>
        </w:rPr>
        <w:t>534</w:t>
      </w:r>
    </w:p>
  </w:footnote>
  <w:footnote w:id="4">
    <w:p w14:paraId="69AE9222" w14:textId="5171EB0F" w:rsidR="0092315F" w:rsidRDefault="0092315F">
      <w:pPr>
        <w:pStyle w:val="FootnoteText"/>
      </w:pPr>
      <w:r>
        <w:rPr>
          <w:rStyle w:val="FootnoteReference"/>
        </w:rPr>
        <w:footnoteRef/>
      </w:r>
      <w:r>
        <w:t xml:space="preserve"> </w:t>
      </w:r>
      <w:r>
        <w:rPr>
          <w:sz w:val="19"/>
          <w:szCs w:val="19"/>
        </w:rPr>
        <w:t xml:space="preserve">John E. B. Myers, </w:t>
      </w:r>
      <w:r>
        <w:rPr>
          <w:i/>
          <w:iCs/>
          <w:sz w:val="19"/>
          <w:szCs w:val="19"/>
        </w:rPr>
        <w:t xml:space="preserve">Child Protection in America: Past, Present and Future </w:t>
      </w:r>
      <w:r>
        <w:rPr>
          <w:sz w:val="19"/>
          <w:szCs w:val="19"/>
        </w:rPr>
        <w:t>(Oxford scholarship online, 2010) 108</w:t>
      </w:r>
    </w:p>
  </w:footnote>
  <w:footnote w:id="5">
    <w:p w14:paraId="73B4496E" w14:textId="30C90CEE" w:rsidR="0092315F" w:rsidRDefault="0092315F">
      <w:pPr>
        <w:pStyle w:val="FootnoteText"/>
      </w:pPr>
      <w:r>
        <w:rPr>
          <w:rStyle w:val="FootnoteReference"/>
        </w:rPr>
        <w:footnoteRef/>
      </w:r>
      <w:r>
        <w:t xml:space="preserve"> </w:t>
      </w:r>
      <w:r w:rsidR="00E95D82">
        <w:rPr>
          <w:sz w:val="19"/>
          <w:szCs w:val="19"/>
        </w:rPr>
        <w:t xml:space="preserve">David Finkelhor, </w:t>
      </w:r>
      <w:r w:rsidR="00E95D82">
        <w:rPr>
          <w:i/>
          <w:iCs/>
          <w:sz w:val="19"/>
          <w:szCs w:val="19"/>
        </w:rPr>
        <w:t xml:space="preserve">Sexually victimized children. </w:t>
      </w:r>
      <w:r w:rsidR="00E95D82">
        <w:rPr>
          <w:sz w:val="19"/>
          <w:szCs w:val="19"/>
        </w:rPr>
        <w:t xml:space="preserve">(Free Press, 1979) </w:t>
      </w:r>
      <w:r w:rsidR="00E95D82">
        <w:t>1</w:t>
      </w:r>
    </w:p>
  </w:footnote>
  <w:footnote w:id="6">
    <w:p w14:paraId="6AC26748" w14:textId="2810503F" w:rsidR="006134E6" w:rsidRPr="00AC584F" w:rsidRDefault="006134E6">
      <w:pPr>
        <w:pStyle w:val="FootnoteText"/>
      </w:pPr>
      <w:r>
        <w:rPr>
          <w:rStyle w:val="FootnoteReference"/>
        </w:rPr>
        <w:footnoteRef/>
      </w:r>
      <w:r>
        <w:t xml:space="preserve"> </w:t>
      </w:r>
      <w:r w:rsidR="00135B8D">
        <w:rPr>
          <w:i/>
        </w:rPr>
        <w:t>Report of the Inquiry into child abuse in Cleveland 1987</w:t>
      </w:r>
      <w:r w:rsidR="00AC584F">
        <w:t xml:space="preserve"> Cm 412 London: HMSO.</w:t>
      </w:r>
    </w:p>
  </w:footnote>
  <w:footnote w:id="7">
    <w:p w14:paraId="349E09BB" w14:textId="4EA8E301" w:rsidR="0006203A" w:rsidRPr="00857D04" w:rsidRDefault="0006203A">
      <w:pPr>
        <w:pStyle w:val="FootnoteText"/>
      </w:pPr>
      <w:r>
        <w:rPr>
          <w:rStyle w:val="FootnoteReference"/>
        </w:rPr>
        <w:footnoteRef/>
      </w:r>
      <w:r>
        <w:t xml:space="preserve"> Jean Renvoize, </w:t>
      </w:r>
      <w:r w:rsidR="00857D04">
        <w:rPr>
          <w:i/>
        </w:rPr>
        <w:t xml:space="preserve">Innocence Destroyed: a study of child sexual abuse </w:t>
      </w:r>
      <w:r w:rsidR="00857D04">
        <w:t>(Routledge Publishing 1993) 4.</w:t>
      </w:r>
    </w:p>
  </w:footnote>
  <w:footnote w:id="8">
    <w:p w14:paraId="667B5CA4" w14:textId="40AA095A" w:rsidR="00857D04" w:rsidRDefault="00857D04">
      <w:pPr>
        <w:pStyle w:val="FootnoteText"/>
      </w:pPr>
      <w:r>
        <w:rPr>
          <w:rStyle w:val="FootnoteReference"/>
        </w:rPr>
        <w:footnoteRef/>
      </w:r>
      <w:r>
        <w:t xml:space="preserve"> </w:t>
      </w:r>
      <w:r w:rsidR="005E0C9D">
        <w:t>Ibid.</w:t>
      </w:r>
    </w:p>
  </w:footnote>
  <w:footnote w:id="9">
    <w:p w14:paraId="697EE32F" w14:textId="6F48ACD0" w:rsidR="005E0C9D" w:rsidRPr="005E0C9D" w:rsidRDefault="005E0C9D">
      <w:pPr>
        <w:pStyle w:val="FootnoteText"/>
      </w:pPr>
      <w:r>
        <w:rPr>
          <w:rStyle w:val="FootnoteReference"/>
        </w:rPr>
        <w:footnoteRef/>
      </w:r>
      <w:r>
        <w:t xml:space="preserve"> Desmond Runyan, Corrine Wattam, Robin Ikeda, Fatma Hassan, Laurie Ramiro, ‘Child abuse and neglect by parents and other caregivers’ in </w:t>
      </w:r>
      <w:r>
        <w:rPr>
          <w:i/>
        </w:rPr>
        <w:t xml:space="preserve">World Report on Violence and Health </w:t>
      </w:r>
      <w:r>
        <w:t>(World Health Organisation, 2002) 59.</w:t>
      </w:r>
    </w:p>
  </w:footnote>
  <w:footnote w:id="10">
    <w:p w14:paraId="1AAAFD2C" w14:textId="250F177B" w:rsidR="00792D17" w:rsidRPr="00792D17" w:rsidRDefault="00792D17">
      <w:pPr>
        <w:pStyle w:val="FootnoteText"/>
      </w:pPr>
      <w:r>
        <w:rPr>
          <w:rStyle w:val="FootnoteReference"/>
        </w:rPr>
        <w:footnoteRef/>
      </w:r>
      <w:r>
        <w:t xml:space="preserve"> Laura Hoyano and Caroline Keenan, </w:t>
      </w:r>
      <w:r>
        <w:rPr>
          <w:i/>
        </w:rPr>
        <w:t xml:space="preserve">Child Abuse: Law and policy across boundaries </w:t>
      </w:r>
      <w:r>
        <w:t>(OUP 2010) 7.</w:t>
      </w:r>
    </w:p>
  </w:footnote>
  <w:footnote w:id="11">
    <w:p w14:paraId="221A7ED4" w14:textId="623753D2" w:rsidR="00792D17" w:rsidRDefault="00792D17">
      <w:pPr>
        <w:pStyle w:val="FootnoteText"/>
      </w:pPr>
      <w:r>
        <w:rPr>
          <w:rStyle w:val="FootnoteReference"/>
        </w:rPr>
        <w:footnoteRef/>
      </w:r>
      <w:r>
        <w:t xml:space="preserve"> UNICEF Data 2016.</w:t>
      </w:r>
    </w:p>
  </w:footnote>
  <w:footnote w:id="12">
    <w:p w14:paraId="3B7437AB" w14:textId="3A264EFF" w:rsidR="00F03856" w:rsidRPr="00F03856" w:rsidRDefault="00F03856">
      <w:pPr>
        <w:pStyle w:val="FootnoteText"/>
      </w:pPr>
      <w:r>
        <w:rPr>
          <w:rStyle w:val="FootnoteReference"/>
        </w:rPr>
        <w:footnoteRef/>
      </w:r>
      <w:r>
        <w:t xml:space="preserve"> Department of Education and Skills, </w:t>
      </w:r>
      <w:r>
        <w:rPr>
          <w:i/>
        </w:rPr>
        <w:t xml:space="preserve">Working Together to Safeguard Children: A guide to inter-agency working to safeguard and promote the welfare of children </w:t>
      </w:r>
      <w:r>
        <w:t>(HM</w:t>
      </w:r>
      <w:r w:rsidR="00E9768C">
        <w:t xml:space="preserve"> Government 2018) 8.</w:t>
      </w:r>
    </w:p>
  </w:footnote>
  <w:footnote w:id="13">
    <w:p w14:paraId="56882FD2" w14:textId="743C6ED8" w:rsidR="00625B53" w:rsidRPr="00475E3A" w:rsidRDefault="00625B53">
      <w:pPr>
        <w:pStyle w:val="FootnoteText"/>
      </w:pPr>
      <w:r>
        <w:rPr>
          <w:rStyle w:val="FootnoteReference"/>
        </w:rPr>
        <w:footnoteRef/>
      </w:r>
      <w:r>
        <w:t xml:space="preserve"> James Garbarino, ‘The Elusive “Crime” of Emotional Abuse</w:t>
      </w:r>
      <w:r w:rsidR="00475E3A">
        <w:t xml:space="preserve">’ (1978) 2 </w:t>
      </w:r>
      <w:r w:rsidR="00475E3A">
        <w:rPr>
          <w:i/>
        </w:rPr>
        <w:t xml:space="preserve">Child Abuse and Neglect </w:t>
      </w:r>
      <w:r w:rsidR="00475E3A">
        <w:t>89, 92.</w:t>
      </w:r>
    </w:p>
  </w:footnote>
  <w:footnote w:id="14">
    <w:p w14:paraId="5ED3E3B7" w14:textId="42F2FF0F" w:rsidR="00886521" w:rsidRPr="00D32964" w:rsidRDefault="00886521">
      <w:pPr>
        <w:pStyle w:val="FootnoteText"/>
      </w:pPr>
      <w:r>
        <w:rPr>
          <w:rStyle w:val="FootnoteReference"/>
        </w:rPr>
        <w:footnoteRef/>
      </w:r>
      <w:r>
        <w:t xml:space="preserve"> </w:t>
      </w:r>
      <w:r>
        <w:rPr>
          <w:i/>
        </w:rPr>
        <w:t>The London Borough of Tower Hamlets</w:t>
      </w:r>
      <w:r w:rsidR="00D32964">
        <w:rPr>
          <w:i/>
        </w:rPr>
        <w:t xml:space="preserve"> v M </w:t>
      </w:r>
      <w:r w:rsidR="00D32964">
        <w:t>[2015] EWCA 869 (Fam), paragraph 57.</w:t>
      </w:r>
    </w:p>
  </w:footnote>
  <w:footnote w:id="15">
    <w:p w14:paraId="5E124CC2" w14:textId="5680E763" w:rsidR="000758B5" w:rsidRDefault="000758B5">
      <w:pPr>
        <w:pStyle w:val="FootnoteText"/>
      </w:pPr>
      <w:r>
        <w:rPr>
          <w:rStyle w:val="FootnoteReference"/>
        </w:rPr>
        <w:footnoteRef/>
      </w:r>
      <w:r>
        <w:t xml:space="preserve"> The London Borough of Tower Hamlets v M [2015] EWHC 869 (Fam) (paragraph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5E2342" w14:paraId="06AEE510" w14:textId="77777777">
      <w:tc>
        <w:tcPr>
          <w:tcW w:w="4680" w:type="dxa"/>
        </w:tcPr>
        <w:p w14:paraId="468BDF8C" w14:textId="77777777" w:rsidR="005E2342" w:rsidRPr="00E86431" w:rsidRDefault="005E2342">
          <w:pPr>
            <w:pStyle w:val="Header"/>
            <w:rPr>
              <w:rFonts w:ascii="Times New Roman" w:hAnsi="Times New Roman"/>
              <w:b/>
              <w:sz w:val="16"/>
              <w:u w:val="single"/>
            </w:rPr>
          </w:pPr>
        </w:p>
      </w:tc>
      <w:tc>
        <w:tcPr>
          <w:tcW w:w="4320" w:type="dxa"/>
        </w:tcPr>
        <w:p w14:paraId="7F0BE721" w14:textId="77777777" w:rsidR="005E2342" w:rsidRDefault="005E2342">
          <w:pPr>
            <w:pStyle w:val="Header"/>
            <w:jc w:val="right"/>
            <w:rPr>
              <w:rFonts w:ascii="Times New Roman" w:hAnsi="Times New Roman"/>
              <w:sz w:val="16"/>
            </w:rPr>
          </w:pPr>
        </w:p>
      </w:tc>
    </w:tr>
  </w:tbl>
  <w:p w14:paraId="7E9644E4"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934CE"/>
    <w:multiLevelType w:val="hybridMultilevel"/>
    <w:tmpl w:val="73F63414"/>
    <w:lvl w:ilvl="0" w:tplc="EB360C04">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4C872D9C"/>
    <w:multiLevelType w:val="hybridMultilevel"/>
    <w:tmpl w:val="80FA692A"/>
    <w:lvl w:ilvl="0" w:tplc="29866246">
      <w:start w:val="4"/>
      <w:numFmt w:val="bullet"/>
      <w:lvlText w:val="-"/>
      <w:lvlJc w:val="left"/>
      <w:pPr>
        <w:ind w:left="930" w:hanging="360"/>
      </w:pPr>
      <w:rPr>
        <w:rFonts w:ascii="Maiandra GD" w:eastAsia="Times New Roman" w:hAnsi="Maiandra GD"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3" w15:restartNumberingAfterBreak="0">
    <w:nsid w:val="75D70B9F"/>
    <w:multiLevelType w:val="multilevel"/>
    <w:tmpl w:val="4D52C604"/>
    <w:lvl w:ilvl="0">
      <w:start w:val="1"/>
      <w:numFmt w:val="decimal"/>
      <w:pStyle w:val="ParaLevel1"/>
      <w:lvlText w:val="%1."/>
      <w:lvlJc w:val="left"/>
      <w:pPr>
        <w:tabs>
          <w:tab w:val="num" w:pos="1854"/>
        </w:tabs>
        <w:ind w:left="1854" w:hanging="720"/>
      </w:pPr>
      <w:rPr>
        <w:rFonts w:hint="default"/>
        <w:b w:val="0"/>
        <w:i w:val="0"/>
        <w:u w:val="none"/>
      </w:rPr>
    </w:lvl>
    <w:lvl w:ilvl="1">
      <w:start w:val="1"/>
      <w:numFmt w:val="lowerRoman"/>
      <w:pStyle w:val="ParaLevel2"/>
      <w:lvlText w:val="%2)"/>
      <w:lvlJc w:val="left"/>
      <w:pPr>
        <w:tabs>
          <w:tab w:val="num" w:pos="2552"/>
        </w:tabs>
        <w:ind w:left="2552" w:hanging="709"/>
      </w:pPr>
      <w:rPr>
        <w:rFonts w:hint="default"/>
        <w:b w:val="0"/>
        <w:i w:val="0"/>
      </w:rPr>
    </w:lvl>
    <w:lvl w:ilvl="2">
      <w:start w:val="1"/>
      <w:numFmt w:val="lowerLetter"/>
      <w:pStyle w:val="ParaLevel3"/>
      <w:lvlText w:val="%3)"/>
      <w:lvlJc w:val="left"/>
      <w:pPr>
        <w:tabs>
          <w:tab w:val="num" w:pos="3261"/>
        </w:tabs>
        <w:ind w:left="3261" w:hanging="709"/>
      </w:pPr>
      <w:rPr>
        <w:rFonts w:hint="default"/>
      </w:rPr>
    </w:lvl>
    <w:lvl w:ilvl="3">
      <w:start w:val="1"/>
      <w:numFmt w:val="lowerRoman"/>
      <w:pStyle w:val="ParaLevel4"/>
      <w:lvlText w:val="%4)"/>
      <w:lvlJc w:val="left"/>
      <w:pPr>
        <w:tabs>
          <w:tab w:val="num" w:pos="4341"/>
        </w:tabs>
        <w:ind w:left="3970" w:hanging="709"/>
      </w:pPr>
      <w:rPr>
        <w:rFonts w:hint="default"/>
      </w:rPr>
    </w:lvl>
    <w:lvl w:ilvl="4">
      <w:start w:val="1"/>
      <w:numFmt w:val="lowerLetter"/>
      <w:pStyle w:val="ParaLevel5"/>
      <w:lvlText w:val="(%5)"/>
      <w:lvlJc w:val="left"/>
      <w:pPr>
        <w:tabs>
          <w:tab w:val="num" w:pos="4679"/>
        </w:tabs>
        <w:ind w:left="4679" w:hanging="709"/>
      </w:pPr>
      <w:rPr>
        <w:rFonts w:hint="default"/>
      </w:rPr>
    </w:lvl>
    <w:lvl w:ilvl="5">
      <w:start w:val="1"/>
      <w:numFmt w:val="lowerRoman"/>
      <w:pStyle w:val="ParaLevel6"/>
      <w:lvlText w:val="(%6)"/>
      <w:lvlJc w:val="left"/>
      <w:pPr>
        <w:tabs>
          <w:tab w:val="num" w:pos="5759"/>
        </w:tabs>
        <w:ind w:left="5388" w:hanging="709"/>
      </w:pPr>
      <w:rPr>
        <w:rFonts w:hint="default"/>
      </w:rPr>
    </w:lvl>
    <w:lvl w:ilvl="6">
      <w:start w:val="1"/>
      <w:numFmt w:val="lowerLetter"/>
      <w:pStyle w:val="ParaLevel7"/>
      <w:lvlText w:val="(%7)"/>
      <w:lvlJc w:val="left"/>
      <w:pPr>
        <w:tabs>
          <w:tab w:val="num" w:pos="6097"/>
        </w:tabs>
        <w:ind w:left="6097" w:hanging="709"/>
      </w:pPr>
      <w:rPr>
        <w:rFonts w:hint="default"/>
      </w:rPr>
    </w:lvl>
    <w:lvl w:ilvl="7">
      <w:start w:val="1"/>
      <w:numFmt w:val="lowerRoman"/>
      <w:pStyle w:val="ParaLevel8"/>
      <w:lvlText w:val="(%8)"/>
      <w:lvlJc w:val="left"/>
      <w:pPr>
        <w:tabs>
          <w:tab w:val="num" w:pos="7177"/>
        </w:tabs>
        <w:ind w:left="6806" w:hanging="709"/>
      </w:pPr>
      <w:rPr>
        <w:rFonts w:hint="default"/>
      </w:rPr>
    </w:lvl>
    <w:lvl w:ilvl="8">
      <w:start w:val="1"/>
      <w:numFmt w:val="lowerLetter"/>
      <w:pStyle w:val="ParaLevel9"/>
      <w:lvlText w:val="(%9)"/>
      <w:lvlJc w:val="left"/>
      <w:pPr>
        <w:tabs>
          <w:tab w:val="num" w:pos="7515"/>
        </w:tabs>
        <w:ind w:left="7515"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76"/>
    <w:rsid w:val="00010331"/>
    <w:rsid w:val="000378BE"/>
    <w:rsid w:val="0006203A"/>
    <w:rsid w:val="00074626"/>
    <w:rsid w:val="000758B5"/>
    <w:rsid w:val="000764F9"/>
    <w:rsid w:val="000A6825"/>
    <w:rsid w:val="000C2D2F"/>
    <w:rsid w:val="000D4C92"/>
    <w:rsid w:val="000E2444"/>
    <w:rsid w:val="00120331"/>
    <w:rsid w:val="00135B8D"/>
    <w:rsid w:val="00155698"/>
    <w:rsid w:val="00170358"/>
    <w:rsid w:val="00174C31"/>
    <w:rsid w:val="00181F11"/>
    <w:rsid w:val="0018752E"/>
    <w:rsid w:val="00195E61"/>
    <w:rsid w:val="0019767F"/>
    <w:rsid w:val="001C08B4"/>
    <w:rsid w:val="001D2691"/>
    <w:rsid w:val="001E3B20"/>
    <w:rsid w:val="00217507"/>
    <w:rsid w:val="00221582"/>
    <w:rsid w:val="00243A2C"/>
    <w:rsid w:val="0027504D"/>
    <w:rsid w:val="002757E6"/>
    <w:rsid w:val="002B68EB"/>
    <w:rsid w:val="002B7C3E"/>
    <w:rsid w:val="002E0616"/>
    <w:rsid w:val="002F59DA"/>
    <w:rsid w:val="0032234B"/>
    <w:rsid w:val="00335575"/>
    <w:rsid w:val="00337662"/>
    <w:rsid w:val="0035284A"/>
    <w:rsid w:val="003601FF"/>
    <w:rsid w:val="00381A4E"/>
    <w:rsid w:val="00394BCB"/>
    <w:rsid w:val="003A0FA7"/>
    <w:rsid w:val="003C55D2"/>
    <w:rsid w:val="003D2718"/>
    <w:rsid w:val="003D5849"/>
    <w:rsid w:val="0041778A"/>
    <w:rsid w:val="00441C00"/>
    <w:rsid w:val="00475E3A"/>
    <w:rsid w:val="004B1C77"/>
    <w:rsid w:val="004D38D6"/>
    <w:rsid w:val="004D58CF"/>
    <w:rsid w:val="00505B8A"/>
    <w:rsid w:val="00515B4B"/>
    <w:rsid w:val="0053724E"/>
    <w:rsid w:val="005467C3"/>
    <w:rsid w:val="005477EE"/>
    <w:rsid w:val="00571131"/>
    <w:rsid w:val="00577699"/>
    <w:rsid w:val="00594187"/>
    <w:rsid w:val="005B3C39"/>
    <w:rsid w:val="005E0C9D"/>
    <w:rsid w:val="005E2342"/>
    <w:rsid w:val="005F0676"/>
    <w:rsid w:val="005F3519"/>
    <w:rsid w:val="006134E6"/>
    <w:rsid w:val="0061358A"/>
    <w:rsid w:val="0062120C"/>
    <w:rsid w:val="0062446C"/>
    <w:rsid w:val="00625B53"/>
    <w:rsid w:val="0062704F"/>
    <w:rsid w:val="006327AA"/>
    <w:rsid w:val="00637232"/>
    <w:rsid w:val="00645149"/>
    <w:rsid w:val="0065338E"/>
    <w:rsid w:val="00667EBC"/>
    <w:rsid w:val="006C375C"/>
    <w:rsid w:val="006E7F8B"/>
    <w:rsid w:val="00726CA8"/>
    <w:rsid w:val="007350A5"/>
    <w:rsid w:val="00742B92"/>
    <w:rsid w:val="00751CE3"/>
    <w:rsid w:val="00760292"/>
    <w:rsid w:val="00775090"/>
    <w:rsid w:val="00782935"/>
    <w:rsid w:val="00790D46"/>
    <w:rsid w:val="00792D17"/>
    <w:rsid w:val="007F5ED6"/>
    <w:rsid w:val="007F7014"/>
    <w:rsid w:val="00827891"/>
    <w:rsid w:val="00832902"/>
    <w:rsid w:val="00852E21"/>
    <w:rsid w:val="00857D04"/>
    <w:rsid w:val="00864038"/>
    <w:rsid w:val="008779DE"/>
    <w:rsid w:val="00886521"/>
    <w:rsid w:val="008C1EFF"/>
    <w:rsid w:val="008C4ED7"/>
    <w:rsid w:val="008E7F36"/>
    <w:rsid w:val="008F48A7"/>
    <w:rsid w:val="009142C9"/>
    <w:rsid w:val="00922902"/>
    <w:rsid w:val="0092315F"/>
    <w:rsid w:val="00927465"/>
    <w:rsid w:val="0099088B"/>
    <w:rsid w:val="009A5D20"/>
    <w:rsid w:val="009C55B8"/>
    <w:rsid w:val="009D6E86"/>
    <w:rsid w:val="009E0DDF"/>
    <w:rsid w:val="00A17B2C"/>
    <w:rsid w:val="00A21438"/>
    <w:rsid w:val="00A50183"/>
    <w:rsid w:val="00A53CB1"/>
    <w:rsid w:val="00A547E7"/>
    <w:rsid w:val="00A807C6"/>
    <w:rsid w:val="00AC0E4B"/>
    <w:rsid w:val="00AC3794"/>
    <w:rsid w:val="00AC584F"/>
    <w:rsid w:val="00AE01F5"/>
    <w:rsid w:val="00B24DB4"/>
    <w:rsid w:val="00B44F34"/>
    <w:rsid w:val="00B6752D"/>
    <w:rsid w:val="00B83C51"/>
    <w:rsid w:val="00B87A31"/>
    <w:rsid w:val="00BA7335"/>
    <w:rsid w:val="00C30537"/>
    <w:rsid w:val="00C3315F"/>
    <w:rsid w:val="00C60B49"/>
    <w:rsid w:val="00C7405F"/>
    <w:rsid w:val="00C74B22"/>
    <w:rsid w:val="00C813DC"/>
    <w:rsid w:val="00C8440F"/>
    <w:rsid w:val="00CC5B8C"/>
    <w:rsid w:val="00CF65DE"/>
    <w:rsid w:val="00D13573"/>
    <w:rsid w:val="00D255E1"/>
    <w:rsid w:val="00D32964"/>
    <w:rsid w:val="00D43AE4"/>
    <w:rsid w:val="00D52550"/>
    <w:rsid w:val="00D84739"/>
    <w:rsid w:val="00D9237A"/>
    <w:rsid w:val="00DA2CE7"/>
    <w:rsid w:val="00DB7655"/>
    <w:rsid w:val="00DD1114"/>
    <w:rsid w:val="00DF5102"/>
    <w:rsid w:val="00E1516F"/>
    <w:rsid w:val="00E22061"/>
    <w:rsid w:val="00E22B51"/>
    <w:rsid w:val="00E30CDF"/>
    <w:rsid w:val="00E3426B"/>
    <w:rsid w:val="00E75A8C"/>
    <w:rsid w:val="00E86431"/>
    <w:rsid w:val="00E95D82"/>
    <w:rsid w:val="00E9768C"/>
    <w:rsid w:val="00EC5001"/>
    <w:rsid w:val="00ED3A31"/>
    <w:rsid w:val="00EE0134"/>
    <w:rsid w:val="00F03856"/>
    <w:rsid w:val="00F97583"/>
    <w:rsid w:val="00FA6969"/>
    <w:rsid w:val="00FF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DD5EE"/>
  <w15:chartTrackingRefBased/>
  <w15:docId w15:val="{2941098F-7843-4FA0-B685-B1F5EEED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BalloonText">
    <w:name w:val="Balloon Text"/>
    <w:basedOn w:val="Normal"/>
    <w:link w:val="BalloonTextChar"/>
    <w:rsid w:val="00B83C51"/>
    <w:rPr>
      <w:rFonts w:ascii="Segoe UI" w:hAnsi="Segoe UI" w:cs="Segoe UI"/>
      <w:sz w:val="18"/>
      <w:szCs w:val="18"/>
    </w:rPr>
  </w:style>
  <w:style w:type="character" w:customStyle="1" w:styleId="BalloonTextChar">
    <w:name w:val="Balloon Text Char"/>
    <w:basedOn w:val="DefaultParagraphFont"/>
    <w:link w:val="BalloonText"/>
    <w:rsid w:val="00B83C51"/>
    <w:rPr>
      <w:rFonts w:ascii="Segoe UI" w:hAnsi="Segoe UI" w:cs="Segoe UI"/>
      <w:sz w:val="18"/>
      <w:szCs w:val="18"/>
      <w:lang w:eastAsia="en-US"/>
    </w:rPr>
  </w:style>
  <w:style w:type="paragraph" w:styleId="EndnoteText">
    <w:name w:val="endnote text"/>
    <w:basedOn w:val="Normal"/>
    <w:link w:val="EndnoteTextChar"/>
    <w:rsid w:val="000758B5"/>
    <w:rPr>
      <w:sz w:val="20"/>
      <w:szCs w:val="20"/>
    </w:rPr>
  </w:style>
  <w:style w:type="character" w:customStyle="1" w:styleId="EndnoteTextChar">
    <w:name w:val="Endnote Text Char"/>
    <w:basedOn w:val="DefaultParagraphFont"/>
    <w:link w:val="EndnoteText"/>
    <w:rsid w:val="000758B5"/>
    <w:rPr>
      <w:lang w:eastAsia="en-US"/>
    </w:rPr>
  </w:style>
  <w:style w:type="character" w:styleId="EndnoteReference">
    <w:name w:val="endnote reference"/>
    <w:basedOn w:val="DefaultParagraphFont"/>
    <w:rsid w:val="000758B5"/>
    <w:rPr>
      <w:vertAlign w:val="superscript"/>
    </w:rPr>
  </w:style>
  <w:style w:type="paragraph" w:styleId="FootnoteText">
    <w:name w:val="footnote text"/>
    <w:basedOn w:val="Normal"/>
    <w:link w:val="FootnoteTextChar"/>
    <w:rsid w:val="000758B5"/>
    <w:rPr>
      <w:sz w:val="20"/>
      <w:szCs w:val="20"/>
    </w:rPr>
  </w:style>
  <w:style w:type="character" w:customStyle="1" w:styleId="FootnoteTextChar">
    <w:name w:val="Footnote Text Char"/>
    <w:basedOn w:val="DefaultParagraphFont"/>
    <w:link w:val="FootnoteText"/>
    <w:rsid w:val="000758B5"/>
    <w:rPr>
      <w:lang w:eastAsia="en-US"/>
    </w:rPr>
  </w:style>
  <w:style w:type="character" w:styleId="FootnoteReference">
    <w:name w:val="footnote reference"/>
    <w:basedOn w:val="DefaultParagraphFont"/>
    <w:rsid w:val="000758B5"/>
    <w:rPr>
      <w:vertAlign w:val="superscript"/>
    </w:rPr>
  </w:style>
  <w:style w:type="character" w:customStyle="1" w:styleId="FooterChar">
    <w:name w:val="Footer Char"/>
    <w:basedOn w:val="DefaultParagraphFont"/>
    <w:link w:val="Footer"/>
    <w:uiPriority w:val="99"/>
    <w:rsid w:val="003C55D2"/>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10C6F18AA2124FAA70F063C5929885" ma:contentTypeVersion="10" ma:contentTypeDescription="Create a new document." ma:contentTypeScope="" ma:versionID="221d25a9ae4f21b8731472e14a3c939a">
  <xsd:schema xmlns:xsd="http://www.w3.org/2001/XMLSchema" xmlns:xs="http://www.w3.org/2001/XMLSchema" xmlns:p="http://schemas.microsoft.com/office/2006/metadata/properties" xmlns:ns3="136cb4b4-2d6b-4245-8710-0897d85c0f0e" xmlns:ns4="1f6313e8-1eda-4f13-a7ae-8d72c6366861" targetNamespace="http://schemas.microsoft.com/office/2006/metadata/properties" ma:root="true" ma:fieldsID="343b1ea598f1d64e0c73a20a998a9c6d" ns3:_="" ns4:_="">
    <xsd:import namespace="136cb4b4-2d6b-4245-8710-0897d85c0f0e"/>
    <xsd:import namespace="1f6313e8-1eda-4f13-a7ae-8d72c63668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cb4b4-2d6b-4245-8710-0897d85c0f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313e8-1eda-4f13-a7ae-8d72c63668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B9D99-23E2-445B-AE3B-77261F4D22FC}">
  <ds:schemaRefs>
    <ds:schemaRef ds:uri="http://schemas.microsoft.com/sharepoint/v3/contenttype/forms"/>
  </ds:schemaRefs>
</ds:datastoreItem>
</file>

<file path=customXml/itemProps2.xml><?xml version="1.0" encoding="utf-8"?>
<ds:datastoreItem xmlns:ds="http://schemas.openxmlformats.org/officeDocument/2006/customXml" ds:itemID="{33B0F142-E2D2-4FC8-B94D-E46F0DC0F87B}">
  <ds:schemaRefs>
    <ds:schemaRef ds:uri="136cb4b4-2d6b-4245-8710-0897d85c0f0e"/>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1f6313e8-1eda-4f13-a7ae-8d72c6366861"/>
    <ds:schemaRef ds:uri="http://www.w3.org/XML/1998/namespace"/>
    <ds:schemaRef ds:uri="http://purl.org/dc/dcmitype/"/>
  </ds:schemaRefs>
</ds:datastoreItem>
</file>

<file path=customXml/itemProps3.xml><?xml version="1.0" encoding="utf-8"?>
<ds:datastoreItem xmlns:ds="http://schemas.openxmlformats.org/officeDocument/2006/customXml" ds:itemID="{6EB75928-2D2F-49E6-BE78-6CC202688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cb4b4-2d6b-4245-8710-0897d85c0f0e"/>
    <ds:schemaRef ds:uri="1f6313e8-1eda-4f13-a7ae-8d72c6366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398D6F-D08C-4D9B-A6DF-75C05F50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6377</Words>
  <Characters>32109</Characters>
  <Application>Microsoft Office Word</Application>
  <DocSecurity>4</DocSecurity>
  <Lines>267</Lines>
  <Paragraphs>76</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38410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Woodger, Gary.</dc:creator>
  <cp:keywords/>
  <dc:description/>
  <cp:lastModifiedBy>Szabo, Maisy (Judicial Office)</cp:lastModifiedBy>
  <cp:revision>2</cp:revision>
  <cp:lastPrinted>2003-02-01T12:12:00Z</cp:lastPrinted>
  <dcterms:created xsi:type="dcterms:W3CDTF">2019-12-02T11:02:00Z</dcterms:created>
  <dcterms:modified xsi:type="dcterms:W3CDTF">2019-12-02T11:02:00Z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HHHH</vt:lpwstr>
  </property>
  <property fmtid="{D5CDD505-2E9C-101B-9397-08002B2CF9AE}" pid="6" name="ApprovedStage">
    <vt:lpwstr>Draft</vt:lpwstr>
  </property>
  <property fmtid="{D5CDD505-2E9C-101B-9397-08002B2CF9AE}" pid="7" name="NCDiv">
    <vt:lpwstr>Fam</vt:lpwstr>
  </property>
  <property fmtid="{D5CDD505-2E9C-101B-9397-08002B2CF9AE}" pid="8" name="TextOK">
    <vt:bool>false</vt:bool>
  </property>
  <property fmtid="{D5CDD505-2E9C-101B-9397-08002B2CF9AE}" pid="9" name="HeaderOK">
    <vt:bool>true</vt:bool>
  </property>
  <property fmtid="{D5CDD505-2E9C-101B-9397-08002B2CF9AE}" pid="10" name="CrestOK">
    <vt:bool>true</vt:bool>
  </property>
  <property fmtid="{D5CDD505-2E9C-101B-9397-08002B2CF9AE}" pid="11" name="FooterOK">
    <vt:bool>true</vt:bool>
  </property>
  <property fmtid="{D5CDD505-2E9C-101B-9397-08002B2CF9AE}" pid="12" name="ContentTypeId">
    <vt:lpwstr>0x0101003310C6F18AA2124FAA70F063C5929885</vt:lpwstr>
  </property>
</Properties>
</file>