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40673" w14:textId="61EBF05A" w:rsidR="00BB3A4E" w:rsidRPr="00CA40BE" w:rsidRDefault="00E07EB5" w:rsidP="00BB1A3B">
      <w:pPr>
        <w:jc w:val="center"/>
        <w:rPr>
          <w:b/>
          <w:bCs/>
          <w:sz w:val="24"/>
          <w:szCs w:val="24"/>
        </w:rPr>
      </w:pPr>
      <w:r w:rsidRPr="00CA40BE">
        <w:rPr>
          <w:b/>
          <w:bCs/>
          <w:sz w:val="24"/>
          <w:szCs w:val="24"/>
        </w:rPr>
        <w:t>Covid 19- Standard directions for remote hearings</w:t>
      </w:r>
      <w:r w:rsidR="009F2226">
        <w:rPr>
          <w:b/>
          <w:bCs/>
          <w:sz w:val="24"/>
          <w:szCs w:val="24"/>
        </w:rPr>
        <w:t xml:space="preserve"> by </w:t>
      </w:r>
      <w:r w:rsidR="003A0398">
        <w:rPr>
          <w:b/>
          <w:bCs/>
          <w:sz w:val="24"/>
          <w:szCs w:val="24"/>
        </w:rPr>
        <w:t>video or telephone conference</w:t>
      </w:r>
      <w:r w:rsidR="003A0398" w:rsidRPr="00CA40BE">
        <w:rPr>
          <w:b/>
          <w:bCs/>
          <w:sz w:val="24"/>
          <w:szCs w:val="24"/>
        </w:rPr>
        <w:t xml:space="preserve"> </w:t>
      </w:r>
      <w:r w:rsidRPr="00CA40BE">
        <w:rPr>
          <w:b/>
          <w:bCs/>
          <w:sz w:val="24"/>
          <w:szCs w:val="24"/>
        </w:rPr>
        <w:t>in the Business and Property Courts- Birmingham</w:t>
      </w:r>
    </w:p>
    <w:p w14:paraId="5D25DCA0" w14:textId="108DDE2A" w:rsidR="00E07EB5" w:rsidRDefault="00E07EB5"/>
    <w:p w14:paraId="0ACE7A08" w14:textId="56E37570" w:rsidR="001827C4" w:rsidRPr="00D001F3" w:rsidRDefault="00D001F3" w:rsidP="00D001F3">
      <w:pPr>
        <w:rPr>
          <w:b/>
          <w:bCs/>
        </w:rPr>
      </w:pPr>
      <w:r w:rsidRPr="00D001F3">
        <w:rPr>
          <w:b/>
          <w:bCs/>
        </w:rPr>
        <w:t>Introduction</w:t>
      </w:r>
    </w:p>
    <w:p w14:paraId="2D90A449" w14:textId="4A1E6326" w:rsidR="00E07EB5" w:rsidRDefault="00E07EB5" w:rsidP="00E07EB5">
      <w:pPr>
        <w:pStyle w:val="ListParagraph"/>
        <w:numPr>
          <w:ilvl w:val="0"/>
          <w:numId w:val="1"/>
        </w:numPr>
      </w:pPr>
      <w:r>
        <w:t>These directions apply where incorporated into the directions for holding any hearing by remote means, save to the extent inconsistent with any directions specifically made for that hearing.</w:t>
      </w:r>
    </w:p>
    <w:p w14:paraId="5556D4E3" w14:textId="6F1D37FB" w:rsidR="00E07EB5" w:rsidRDefault="00E267CE" w:rsidP="00E07EB5">
      <w:pPr>
        <w:pStyle w:val="ListParagraph"/>
        <w:numPr>
          <w:ilvl w:val="0"/>
          <w:numId w:val="1"/>
        </w:numPr>
      </w:pPr>
      <w:r>
        <w:t xml:space="preserve">It is important that parties take all steps necessary to cooperate with each other to </w:t>
      </w:r>
      <w:r w:rsidR="00567FA0">
        <w:t xml:space="preserve">comply with these directions and otherwise as </w:t>
      </w:r>
      <w:r w:rsidR="00544290">
        <w:t xml:space="preserve">required to </w:t>
      </w:r>
      <w:r>
        <w:t>ensure that the hearing can proceed efficiently as scheduled.</w:t>
      </w:r>
    </w:p>
    <w:p w14:paraId="4EF98069" w14:textId="3370A3E8" w:rsidR="00D001F3" w:rsidRPr="00D001F3" w:rsidRDefault="00D001F3" w:rsidP="00D001F3">
      <w:pPr>
        <w:rPr>
          <w:b/>
          <w:bCs/>
        </w:rPr>
      </w:pPr>
      <w:r w:rsidRPr="00D001F3">
        <w:rPr>
          <w:b/>
          <w:bCs/>
        </w:rPr>
        <w:t xml:space="preserve">Arrangements for </w:t>
      </w:r>
      <w:r w:rsidR="007C5160">
        <w:rPr>
          <w:b/>
          <w:bCs/>
        </w:rPr>
        <w:t>a</w:t>
      </w:r>
      <w:r w:rsidRPr="00D001F3">
        <w:rPr>
          <w:b/>
          <w:bCs/>
        </w:rPr>
        <w:t xml:space="preserve"> hearing </w:t>
      </w:r>
      <w:r w:rsidR="007C5160">
        <w:rPr>
          <w:b/>
          <w:bCs/>
        </w:rPr>
        <w:t xml:space="preserve">by </w:t>
      </w:r>
      <w:r w:rsidR="004633E2">
        <w:rPr>
          <w:b/>
          <w:bCs/>
        </w:rPr>
        <w:t>video conference</w:t>
      </w:r>
    </w:p>
    <w:p w14:paraId="1BBA75E3" w14:textId="034CD4C0" w:rsidR="00E267CE" w:rsidRDefault="00E267CE" w:rsidP="00E07EB5">
      <w:pPr>
        <w:pStyle w:val="ListParagraph"/>
        <w:numPr>
          <w:ilvl w:val="0"/>
          <w:numId w:val="1"/>
        </w:numPr>
      </w:pPr>
      <w:r>
        <w:t>The platform for the hearing will be</w:t>
      </w:r>
      <w:r w:rsidR="00E62B2A">
        <w:t xml:space="preserve"> Cloud Video Platform (CVP)</w:t>
      </w:r>
      <w:r w:rsidR="00690118">
        <w:t>,</w:t>
      </w:r>
      <w:r>
        <w:t xml:space="preserve"> Skype for Business</w:t>
      </w:r>
      <w:r w:rsidR="00D3245D">
        <w:t xml:space="preserve"> or MS Teams, as selected by the court.</w:t>
      </w:r>
      <w:r w:rsidR="0074176C">
        <w:t xml:space="preserve"> </w:t>
      </w:r>
    </w:p>
    <w:p w14:paraId="180F334A" w14:textId="6DE02ED3" w:rsidR="00031A02" w:rsidRDefault="00031A02" w:rsidP="00E07EB5">
      <w:pPr>
        <w:pStyle w:val="ListParagraph"/>
        <w:numPr>
          <w:ilvl w:val="0"/>
          <w:numId w:val="1"/>
        </w:numPr>
      </w:pPr>
      <w:r>
        <w:t xml:space="preserve">Instructions for joining a CVP </w:t>
      </w:r>
      <w:r w:rsidR="00D40E50">
        <w:t>hearing, including testing procedures and required downloads for use with mobile phones or tablets,</w:t>
      </w:r>
      <w:r w:rsidR="003424A1">
        <w:t xml:space="preserve"> are given on the </w:t>
      </w:r>
      <w:r w:rsidR="0042181C">
        <w:t xml:space="preserve">Gov.uk website </w:t>
      </w:r>
      <w:hyperlink r:id="rId11" w:history="1">
        <w:r w:rsidR="0042181C" w:rsidRPr="00EA76A5">
          <w:rPr>
            <w:rStyle w:val="Hyperlink"/>
          </w:rPr>
          <w:t>here</w:t>
        </w:r>
      </w:hyperlink>
      <w:r w:rsidR="003329DE">
        <w:rPr>
          <w:rStyle w:val="FootnoteReference"/>
          <w:color w:val="0563C1" w:themeColor="hyperlink"/>
          <w:u w:val="single"/>
        </w:rPr>
        <w:footnoteReference w:id="1"/>
      </w:r>
      <w:r w:rsidR="0042181C">
        <w:t>.</w:t>
      </w:r>
    </w:p>
    <w:p w14:paraId="162F4FFC" w14:textId="358A7895" w:rsidR="00E267CE" w:rsidRDefault="00E267CE" w:rsidP="00E07EB5">
      <w:pPr>
        <w:pStyle w:val="ListParagraph"/>
        <w:numPr>
          <w:ilvl w:val="0"/>
          <w:numId w:val="1"/>
        </w:numPr>
      </w:pPr>
      <w:r>
        <w:t xml:space="preserve">The court will </w:t>
      </w:r>
      <w:r w:rsidR="006C6F88">
        <w:t xml:space="preserve">send by email a notice </w:t>
      </w:r>
      <w:r w:rsidR="00414316">
        <w:t>of hearing or meeting invitation with instructions for joining the hearing</w:t>
      </w:r>
      <w:r>
        <w:t>. In order that it can do so:</w:t>
      </w:r>
    </w:p>
    <w:p w14:paraId="14325BEE" w14:textId="01EF9354" w:rsidR="00E267CE" w:rsidRDefault="007126F4" w:rsidP="00DA7941">
      <w:pPr>
        <w:pStyle w:val="ListParagraph"/>
        <w:numPr>
          <w:ilvl w:val="1"/>
          <w:numId w:val="1"/>
        </w:numPr>
        <w:ind w:left="1134"/>
      </w:pPr>
      <w:r>
        <w:t xml:space="preserve">All parties must liaise and the Claimant or Applicant </w:t>
      </w:r>
      <w:r w:rsidR="00E267CE">
        <w:t xml:space="preserve">must, </w:t>
      </w:r>
      <w:r w:rsidR="00AB57B2">
        <w:t>not later than</w:t>
      </w:r>
      <w:r w:rsidR="00D104ED">
        <w:t xml:space="preserve"> </w:t>
      </w:r>
      <w:r w:rsidR="00BF3ECD">
        <w:t>three</w:t>
      </w:r>
      <w:r w:rsidR="00AB57B2">
        <w:t xml:space="preserve"> </w:t>
      </w:r>
      <w:r w:rsidR="002E688B">
        <w:t xml:space="preserve">clear </w:t>
      </w:r>
      <w:r w:rsidR="00AB57B2">
        <w:t>business days before the hearing, file at court a Remote Hearing Attendance Form</w:t>
      </w:r>
      <w:r w:rsidR="00C9302C">
        <w:t xml:space="preserve"> using the specimen attached</w:t>
      </w:r>
      <w:r w:rsidR="008C2177">
        <w:t xml:space="preserve"> to these directions.</w:t>
      </w:r>
    </w:p>
    <w:p w14:paraId="750900FF" w14:textId="0090D322" w:rsidR="005263BB" w:rsidRDefault="003A53EE" w:rsidP="00DA7941">
      <w:pPr>
        <w:pStyle w:val="ListParagraph"/>
        <w:numPr>
          <w:ilvl w:val="1"/>
          <w:numId w:val="1"/>
        </w:numPr>
        <w:ind w:left="1134"/>
      </w:pPr>
      <w:r>
        <w:t>The attendance sheet must specify ONE</w:t>
      </w:r>
      <w:r w:rsidR="00182B5D">
        <w:t xml:space="preserve"> lead participant</w:t>
      </w:r>
      <w:r>
        <w:t xml:space="preserve"> email address </w:t>
      </w:r>
      <w:r w:rsidR="007A4B14">
        <w:t>on behalf of each party. The court will send the</w:t>
      </w:r>
      <w:r w:rsidR="008732EE">
        <w:t xml:space="preserve"> joining instructions to that address</w:t>
      </w:r>
      <w:r w:rsidR="002B7797">
        <w:t xml:space="preserve">, and parties must arrange to forward </w:t>
      </w:r>
      <w:r w:rsidR="00F41089">
        <w:t>them</w:t>
      </w:r>
      <w:r w:rsidR="002B7797">
        <w:t xml:space="preserve"> to all other participants.</w:t>
      </w:r>
    </w:p>
    <w:p w14:paraId="188CC2B0" w14:textId="35DFB527" w:rsidR="00331C18" w:rsidRDefault="0008074C" w:rsidP="00DA7941">
      <w:pPr>
        <w:pStyle w:val="ListParagraph"/>
        <w:numPr>
          <w:ilvl w:val="1"/>
          <w:numId w:val="1"/>
        </w:numPr>
        <w:ind w:left="1134"/>
      </w:pPr>
      <w:r>
        <w:t xml:space="preserve">Parties are requested to keep the number of participants to </w:t>
      </w:r>
      <w:r w:rsidR="006666CA">
        <w:t>the</w:t>
      </w:r>
      <w:r>
        <w:t xml:space="preserve"> minimum</w:t>
      </w:r>
      <w:r w:rsidR="006666CA">
        <w:t xml:space="preserve"> necessary to conduct the hearing.</w:t>
      </w:r>
    </w:p>
    <w:p w14:paraId="3B78F3FE" w14:textId="53DE87A0" w:rsidR="001142AB" w:rsidRDefault="001142AB" w:rsidP="00DA7941">
      <w:pPr>
        <w:pStyle w:val="ListParagraph"/>
        <w:numPr>
          <w:ilvl w:val="1"/>
          <w:numId w:val="1"/>
        </w:numPr>
        <w:ind w:left="1134"/>
      </w:pPr>
      <w:r>
        <w:t>All participants must ensure</w:t>
      </w:r>
      <w:r w:rsidR="006D4A7D">
        <w:t xml:space="preserve">, in advance, </w:t>
      </w:r>
      <w:r w:rsidR="00D50649">
        <w:t>that</w:t>
      </w:r>
      <w:r>
        <w:t xml:space="preserve"> that they have installed</w:t>
      </w:r>
      <w:r w:rsidR="00D50649">
        <w:t xml:space="preserve"> and tested </w:t>
      </w:r>
      <w:r>
        <w:t>all necessary software to participate in the hearing</w:t>
      </w:r>
      <w:bookmarkStart w:id="0" w:name="_Ref48924817"/>
      <w:r w:rsidR="00610448">
        <w:rPr>
          <w:rStyle w:val="FootnoteReference"/>
        </w:rPr>
        <w:footnoteReference w:id="2"/>
      </w:r>
      <w:bookmarkEnd w:id="0"/>
      <w:r w:rsidR="00B2598B">
        <w:t>.</w:t>
      </w:r>
      <w:r w:rsidR="004816B2">
        <w:t xml:space="preserve"> </w:t>
      </w:r>
    </w:p>
    <w:p w14:paraId="4E2D2962" w14:textId="7075F0F1" w:rsidR="00B2598B" w:rsidRDefault="00133A5F" w:rsidP="00B2598B">
      <w:pPr>
        <w:pStyle w:val="ListParagraph"/>
        <w:numPr>
          <w:ilvl w:val="0"/>
          <w:numId w:val="1"/>
        </w:numPr>
      </w:pPr>
      <w:r>
        <w:t xml:space="preserve">If any </w:t>
      </w:r>
      <w:r w:rsidR="00FE7F32">
        <w:t xml:space="preserve">party has not received the </w:t>
      </w:r>
      <w:r w:rsidR="004F7235">
        <w:t xml:space="preserve">invitation by 12 noon on the preceding day, they should contact the </w:t>
      </w:r>
      <w:r w:rsidR="009E2DC9">
        <w:t>relevant judge's clerk (</w:t>
      </w:r>
      <w:r w:rsidR="008E7831">
        <w:t>or the court via the BPC email address)</w:t>
      </w:r>
      <w:r w:rsidR="004B06E4">
        <w:t xml:space="preserve"> urgently.</w:t>
      </w:r>
    </w:p>
    <w:p w14:paraId="472C6A91" w14:textId="0E3C80C7" w:rsidR="00723D9E" w:rsidRPr="00D001F3" w:rsidRDefault="00723D9E" w:rsidP="00723D9E">
      <w:pPr>
        <w:rPr>
          <w:b/>
          <w:bCs/>
        </w:rPr>
      </w:pPr>
      <w:r w:rsidRPr="00D001F3">
        <w:rPr>
          <w:b/>
          <w:bCs/>
        </w:rPr>
        <w:t xml:space="preserve">Arrangements for </w:t>
      </w:r>
      <w:r>
        <w:rPr>
          <w:b/>
          <w:bCs/>
        </w:rPr>
        <w:t>a</w:t>
      </w:r>
      <w:r w:rsidRPr="00D001F3">
        <w:rPr>
          <w:b/>
          <w:bCs/>
        </w:rPr>
        <w:t xml:space="preserve"> hearing</w:t>
      </w:r>
      <w:r>
        <w:rPr>
          <w:b/>
          <w:bCs/>
        </w:rPr>
        <w:t xml:space="preserve"> by</w:t>
      </w:r>
      <w:r w:rsidRPr="00D001F3">
        <w:rPr>
          <w:b/>
          <w:bCs/>
        </w:rPr>
        <w:t xml:space="preserve"> </w:t>
      </w:r>
      <w:r w:rsidR="004633E2">
        <w:rPr>
          <w:b/>
          <w:bCs/>
        </w:rPr>
        <w:t>telephone conference</w:t>
      </w:r>
    </w:p>
    <w:p w14:paraId="0E010895" w14:textId="77777777" w:rsidR="00723D9E" w:rsidRDefault="00723D9E" w:rsidP="00723D9E">
      <w:pPr>
        <w:pStyle w:val="ListParagraph"/>
        <w:numPr>
          <w:ilvl w:val="0"/>
          <w:numId w:val="1"/>
        </w:numPr>
      </w:pPr>
      <w:r>
        <w:t xml:space="preserve">The platform for the hearing will be BTMeetMe. </w:t>
      </w:r>
    </w:p>
    <w:p w14:paraId="58B2EFAE" w14:textId="3D9062AB" w:rsidR="00723D9E" w:rsidRDefault="00723D9E" w:rsidP="00723D9E">
      <w:pPr>
        <w:pStyle w:val="ListParagraph"/>
        <w:numPr>
          <w:ilvl w:val="0"/>
          <w:numId w:val="1"/>
        </w:numPr>
      </w:pPr>
      <w:r>
        <w:t>The court will arrange the conference call and dial direct to each participant at or as soon as possible after the scheduled start time for the hearing. In order that it can do so:</w:t>
      </w:r>
    </w:p>
    <w:p w14:paraId="63A1BED9" w14:textId="30CE1504" w:rsidR="00723D9E" w:rsidRDefault="009C3BF0" w:rsidP="00DA7941">
      <w:pPr>
        <w:pStyle w:val="ListParagraph"/>
        <w:numPr>
          <w:ilvl w:val="1"/>
          <w:numId w:val="3"/>
        </w:numPr>
        <w:ind w:left="1134"/>
      </w:pPr>
      <w:r>
        <w:t xml:space="preserve">All parties must liaise and the Claimant or Applicant </w:t>
      </w:r>
      <w:r w:rsidR="00723D9E">
        <w:t xml:space="preserve"> must, not later than three clear business days before the hearing, file at court a Remote Hearing Attendance Form</w:t>
      </w:r>
      <w:r w:rsidR="0044055E">
        <w:t xml:space="preserve"> using the specimen attached</w:t>
      </w:r>
      <w:r w:rsidR="00E93D90">
        <w:t xml:space="preserve"> to these directions</w:t>
      </w:r>
      <w:r w:rsidR="00723D9E">
        <w:t>.</w:t>
      </w:r>
    </w:p>
    <w:p w14:paraId="66455E60" w14:textId="64D67F97" w:rsidR="00645D82" w:rsidRDefault="00183C02" w:rsidP="00DA7941">
      <w:pPr>
        <w:pStyle w:val="ListParagraph"/>
        <w:numPr>
          <w:ilvl w:val="1"/>
          <w:numId w:val="3"/>
        </w:numPr>
        <w:ind w:left="1134"/>
      </w:pPr>
      <w:r>
        <w:t>Where possible, the form should state the contact telephone number</w:t>
      </w:r>
      <w:r w:rsidR="00EA6A6D">
        <w:t xml:space="preserve"> to be used by the court for each participant</w:t>
      </w:r>
      <w:r w:rsidR="00C51054">
        <w:t xml:space="preserve"> for all parties</w:t>
      </w:r>
      <w:r w:rsidR="00EA6A6D">
        <w:t xml:space="preserve">. If </w:t>
      </w:r>
      <w:r w:rsidR="00965D27">
        <w:t>for any participant these details should be kept confidential</w:t>
      </w:r>
      <w:r w:rsidR="00776727">
        <w:t xml:space="preserve"> from other parties</w:t>
      </w:r>
      <w:r w:rsidR="00965D27">
        <w:t xml:space="preserve">, the </w:t>
      </w:r>
      <w:r w:rsidR="0013374D">
        <w:t>party concerned may email</w:t>
      </w:r>
      <w:r w:rsidR="00776727">
        <w:t xml:space="preserve"> </w:t>
      </w:r>
      <w:r w:rsidR="00C51054">
        <w:t>that person's contact telephone number</w:t>
      </w:r>
      <w:r w:rsidR="008420AA">
        <w:t xml:space="preserve"> direct to the court, using the BPC address.</w:t>
      </w:r>
    </w:p>
    <w:p w14:paraId="7516FF8E" w14:textId="0177B2E1" w:rsidR="000F48EF" w:rsidRDefault="00723D9E" w:rsidP="00DA7941">
      <w:pPr>
        <w:pStyle w:val="ListParagraph"/>
        <w:numPr>
          <w:ilvl w:val="1"/>
          <w:numId w:val="3"/>
        </w:numPr>
        <w:ind w:left="1134"/>
      </w:pPr>
      <w:r>
        <w:t>Parties are requested to keep the number of participants to the minimum necessary to conduct the hearing</w:t>
      </w:r>
      <w:r w:rsidR="00C33453">
        <w:t xml:space="preserve"> as it can take a considerable time to dial</w:t>
      </w:r>
      <w:r w:rsidR="00D82443">
        <w:t xml:space="preserve"> and join everyone</w:t>
      </w:r>
      <w:r>
        <w:t>.</w:t>
      </w:r>
    </w:p>
    <w:p w14:paraId="6AF74B0A" w14:textId="77777777" w:rsidR="008F1536" w:rsidRDefault="008F1536">
      <w:pPr>
        <w:rPr>
          <w:b/>
          <w:bCs/>
        </w:rPr>
      </w:pPr>
      <w:r>
        <w:rPr>
          <w:b/>
          <w:bCs/>
        </w:rPr>
        <w:br w:type="page"/>
      </w:r>
    </w:p>
    <w:p w14:paraId="221348D0" w14:textId="72636A70" w:rsidR="007350C4" w:rsidRPr="007350C4" w:rsidRDefault="007350C4" w:rsidP="007350C4">
      <w:pPr>
        <w:rPr>
          <w:b/>
          <w:bCs/>
        </w:rPr>
      </w:pPr>
      <w:r w:rsidRPr="007350C4">
        <w:rPr>
          <w:b/>
          <w:bCs/>
        </w:rPr>
        <w:lastRenderedPageBreak/>
        <w:t xml:space="preserve">Attendance </w:t>
      </w:r>
      <w:r w:rsidR="00D74920">
        <w:rPr>
          <w:b/>
          <w:bCs/>
        </w:rPr>
        <w:t xml:space="preserve">Forms </w:t>
      </w:r>
      <w:r w:rsidRPr="007350C4">
        <w:rPr>
          <w:b/>
          <w:bCs/>
        </w:rPr>
        <w:t>and Bundles</w:t>
      </w:r>
    </w:p>
    <w:p w14:paraId="298CADFB" w14:textId="7A484A50" w:rsidR="004B06E4" w:rsidRDefault="007D209E" w:rsidP="00B2598B">
      <w:pPr>
        <w:pStyle w:val="ListParagraph"/>
        <w:numPr>
          <w:ilvl w:val="0"/>
          <w:numId w:val="1"/>
        </w:numPr>
      </w:pPr>
      <w:r>
        <w:t xml:space="preserve">The parties must </w:t>
      </w:r>
      <w:r w:rsidR="00EC6110">
        <w:t xml:space="preserve">liaise and </w:t>
      </w:r>
      <w:r w:rsidR="00FF67FB">
        <w:t>lodge the following</w:t>
      </w:r>
      <w:r w:rsidR="00C41357">
        <w:t xml:space="preserve"> JOINT </w:t>
      </w:r>
      <w:r w:rsidR="00E428CE">
        <w:t xml:space="preserve">documents, not later than </w:t>
      </w:r>
      <w:r w:rsidR="00FE0312">
        <w:t>three clear</w:t>
      </w:r>
      <w:r w:rsidR="00BF3ECD">
        <w:t xml:space="preserve"> business days before</w:t>
      </w:r>
      <w:r w:rsidR="00FE0312">
        <w:t xml:space="preserve"> the hearing:</w:t>
      </w:r>
    </w:p>
    <w:p w14:paraId="4257D034" w14:textId="3FB4F1B1" w:rsidR="00FE0312" w:rsidRDefault="00FF61B4" w:rsidP="00782497">
      <w:pPr>
        <w:pStyle w:val="ListParagraph"/>
        <w:numPr>
          <w:ilvl w:val="1"/>
          <w:numId w:val="1"/>
        </w:numPr>
        <w:ind w:left="1134"/>
      </w:pPr>
      <w:r>
        <w:t xml:space="preserve">An </w:t>
      </w:r>
      <w:r w:rsidR="002F0C89">
        <w:t>I</w:t>
      </w:r>
      <w:r w:rsidR="00615782">
        <w:t>ndex to a</w:t>
      </w:r>
      <w:r w:rsidR="007E244F">
        <w:t xml:space="preserve"> joint</w:t>
      </w:r>
      <w:r w:rsidR="00615782">
        <w:t xml:space="preserve"> electronic</w:t>
      </w:r>
      <w:r w:rsidR="00CE721D">
        <w:t xml:space="preserve"> bundle of documents for the hearing, </w:t>
      </w:r>
      <w:r w:rsidR="00C37EDD">
        <w:t>and</w:t>
      </w:r>
    </w:p>
    <w:p w14:paraId="32DF3DE8" w14:textId="379632AB" w:rsidR="009A1303" w:rsidRDefault="009A1303" w:rsidP="00782497">
      <w:pPr>
        <w:pStyle w:val="ListParagraph"/>
        <w:numPr>
          <w:ilvl w:val="1"/>
          <w:numId w:val="1"/>
        </w:numPr>
        <w:ind w:left="1134"/>
      </w:pPr>
      <w:r>
        <w:t xml:space="preserve">An </w:t>
      </w:r>
      <w:r w:rsidR="002F0C89">
        <w:t>I</w:t>
      </w:r>
      <w:r>
        <w:t>ndex to a joint bundle of authorities</w:t>
      </w:r>
      <w:r w:rsidR="00FF3486">
        <w:t>.</w:t>
      </w:r>
    </w:p>
    <w:p w14:paraId="00D7B224" w14:textId="2781C6AC" w:rsidR="002E3640" w:rsidRDefault="002E3640" w:rsidP="002E3640">
      <w:pPr>
        <w:pStyle w:val="ListParagraph"/>
        <w:numPr>
          <w:ilvl w:val="0"/>
          <w:numId w:val="1"/>
        </w:numPr>
      </w:pPr>
      <w:r>
        <w:t xml:space="preserve">The </w:t>
      </w:r>
      <w:r w:rsidR="002F0C89">
        <w:t>Hearing Attendance Forms and Indices</w:t>
      </w:r>
      <w:r w:rsidR="00017BC3">
        <w:t>:</w:t>
      </w:r>
    </w:p>
    <w:p w14:paraId="1669B17E" w14:textId="2FFFB579" w:rsidR="00017BC3" w:rsidRDefault="00017BC3" w:rsidP="00782497">
      <w:pPr>
        <w:pStyle w:val="ListParagraph"/>
        <w:numPr>
          <w:ilvl w:val="1"/>
          <w:numId w:val="1"/>
        </w:numPr>
        <w:ind w:left="1134"/>
      </w:pPr>
      <w:r>
        <w:t xml:space="preserve">Must be </w:t>
      </w:r>
      <w:r w:rsidR="008F1536">
        <w:t xml:space="preserve">separate </w:t>
      </w:r>
      <w:r>
        <w:t xml:space="preserve">Word </w:t>
      </w:r>
      <w:r w:rsidR="00DF09C1">
        <w:t xml:space="preserve">documents in the form of the specimens </w:t>
      </w:r>
      <w:r w:rsidR="008F1536">
        <w:t>appended</w:t>
      </w:r>
      <w:r w:rsidR="008420AA">
        <w:t xml:space="preserve"> to</w:t>
      </w:r>
      <w:r w:rsidR="00DF09C1">
        <w:t xml:space="preserve"> these </w:t>
      </w:r>
      <w:r w:rsidR="0013695F">
        <w:t>directions, and</w:t>
      </w:r>
    </w:p>
    <w:p w14:paraId="39009DE4" w14:textId="7DA84A37" w:rsidR="0013695F" w:rsidRDefault="002728DF" w:rsidP="00782497">
      <w:pPr>
        <w:pStyle w:val="ListParagraph"/>
        <w:numPr>
          <w:ilvl w:val="1"/>
          <w:numId w:val="1"/>
        </w:numPr>
        <w:ind w:left="1134"/>
      </w:pPr>
      <w:r>
        <w:t>Must</w:t>
      </w:r>
      <w:r w:rsidR="0013695F">
        <w:t xml:space="preserve"> be lodged </w:t>
      </w:r>
      <w:r w:rsidR="0013695F" w:rsidRPr="00937771">
        <w:rPr>
          <w:u w:val="single"/>
        </w:rPr>
        <w:t>by email</w:t>
      </w:r>
      <w:r w:rsidR="00001220">
        <w:t xml:space="preserve"> to the BPC address</w:t>
      </w:r>
      <w:r>
        <w:t xml:space="preserve">. In </w:t>
      </w:r>
      <w:r w:rsidR="007F609F">
        <w:t xml:space="preserve">addition </w:t>
      </w:r>
      <w:r w:rsidR="00A62273">
        <w:t xml:space="preserve"> (if the case is on CeFile)</w:t>
      </w:r>
      <w:r w:rsidR="002A09EB">
        <w:t xml:space="preserve"> </w:t>
      </w:r>
      <w:r w:rsidR="007F609F">
        <w:t xml:space="preserve">they may also be lodged using </w:t>
      </w:r>
      <w:r w:rsidR="002A09EB">
        <w:t>CeFile</w:t>
      </w:r>
      <w:r w:rsidR="007035B9">
        <w:t>.</w:t>
      </w:r>
    </w:p>
    <w:p w14:paraId="03ED668F" w14:textId="17067A7F" w:rsidR="002F0C89" w:rsidRDefault="0052643A" w:rsidP="002F0C89">
      <w:pPr>
        <w:pStyle w:val="ListParagraph"/>
        <w:numPr>
          <w:ilvl w:val="0"/>
          <w:numId w:val="1"/>
        </w:numPr>
      </w:pPr>
      <w:r>
        <w:t xml:space="preserve">In </w:t>
      </w:r>
      <w:r w:rsidR="00EB54C2">
        <w:t>relation to t</w:t>
      </w:r>
      <w:r w:rsidR="001861F4">
        <w:t xml:space="preserve">he individual documents to be included in </w:t>
      </w:r>
      <w:r w:rsidR="003A0656">
        <w:t>the bundles of documents and authorities</w:t>
      </w:r>
      <w:r w:rsidR="002C016F">
        <w:t>:</w:t>
      </w:r>
    </w:p>
    <w:p w14:paraId="61DB7F99" w14:textId="638023BF" w:rsidR="002C016F" w:rsidRDefault="00EB54C2" w:rsidP="00782497">
      <w:pPr>
        <w:pStyle w:val="ListParagraph"/>
        <w:numPr>
          <w:ilvl w:val="1"/>
          <w:numId w:val="1"/>
        </w:numPr>
        <w:ind w:left="1134"/>
      </w:pPr>
      <w:r>
        <w:t>All such documents m</w:t>
      </w:r>
      <w:r w:rsidR="009E09C7">
        <w:t xml:space="preserve">ust be sent to the </w:t>
      </w:r>
      <w:r w:rsidR="00C60A69">
        <w:t xml:space="preserve">court by email (NOT CeFile) at the same time as the </w:t>
      </w:r>
      <w:r w:rsidR="00C96C30">
        <w:t>relevant Index</w:t>
      </w:r>
      <w:r w:rsidR="001424A1">
        <w:t>.</w:t>
      </w:r>
      <w:r w:rsidR="005C14F0">
        <w:t xml:space="preserve"> Alternatively </w:t>
      </w:r>
      <w:r w:rsidR="00F52FF4">
        <w:t xml:space="preserve">documents </w:t>
      </w:r>
      <w:r w:rsidR="00412498">
        <w:t xml:space="preserve">may be </w:t>
      </w:r>
      <w:r w:rsidR="00F52FF4">
        <w:t>stored on a download site</w:t>
      </w:r>
      <w:r w:rsidR="00412498">
        <w:t xml:space="preserve"> and a link </w:t>
      </w:r>
      <w:r w:rsidR="00467ED8">
        <w:t xml:space="preserve">(and password if required) </w:t>
      </w:r>
      <w:r w:rsidR="00412498">
        <w:t>sent to make them accessible to the judge.</w:t>
      </w:r>
    </w:p>
    <w:p w14:paraId="36281EFC" w14:textId="51B33B3C" w:rsidR="001424A1" w:rsidRDefault="001424A1" w:rsidP="00782497">
      <w:pPr>
        <w:pStyle w:val="ListParagraph"/>
        <w:numPr>
          <w:ilvl w:val="1"/>
          <w:numId w:val="1"/>
        </w:numPr>
        <w:ind w:left="1134"/>
      </w:pPr>
      <w:r>
        <w:t>If required to comply with size limits,</w:t>
      </w:r>
      <w:r w:rsidR="00972222">
        <w:t xml:space="preserve"> multiple emails</w:t>
      </w:r>
      <w:r w:rsidR="00A013CA">
        <w:t xml:space="preserve"> </w:t>
      </w:r>
      <w:r w:rsidR="00E5192A">
        <w:t xml:space="preserve">may be used, but each email should attach </w:t>
      </w:r>
      <w:r w:rsidR="00395D56">
        <w:t xml:space="preserve">only </w:t>
      </w:r>
      <w:r w:rsidR="0003038A">
        <w:t>documents or authorities, not both</w:t>
      </w:r>
      <w:r w:rsidR="00974389">
        <w:t>.</w:t>
      </w:r>
    </w:p>
    <w:p w14:paraId="63F44057" w14:textId="5822CA8B" w:rsidR="00974389" w:rsidRDefault="00974389" w:rsidP="00782497">
      <w:pPr>
        <w:pStyle w:val="ListParagraph"/>
        <w:numPr>
          <w:ilvl w:val="1"/>
          <w:numId w:val="1"/>
        </w:numPr>
        <w:ind w:left="1134"/>
      </w:pPr>
      <w:r>
        <w:t xml:space="preserve">Documents may be </w:t>
      </w:r>
      <w:r w:rsidR="00EA3995">
        <w:t>sent</w:t>
      </w:r>
      <w:r>
        <w:t xml:space="preserve"> in a zipped file.</w:t>
      </w:r>
    </w:p>
    <w:p w14:paraId="62F65B69" w14:textId="4C96E6E9" w:rsidR="00DE25F3" w:rsidRDefault="00DE25F3" w:rsidP="00782497">
      <w:pPr>
        <w:pStyle w:val="ListParagraph"/>
        <w:numPr>
          <w:ilvl w:val="1"/>
          <w:numId w:val="1"/>
        </w:numPr>
        <w:ind w:left="1134"/>
      </w:pPr>
      <w:r>
        <w:t xml:space="preserve">Each email </w:t>
      </w:r>
      <w:r w:rsidR="004E1248">
        <w:t>must include in the subject line</w:t>
      </w:r>
      <w:r w:rsidR="00852BAC">
        <w:t xml:space="preserve"> </w:t>
      </w:r>
      <w:r w:rsidR="00DD12AB">
        <w:t>"</w:t>
      </w:r>
      <w:r w:rsidR="00BA7BE0">
        <w:t>[Case No]</w:t>
      </w:r>
      <w:r w:rsidR="007D485D">
        <w:t xml:space="preserve">: </w:t>
      </w:r>
      <w:r w:rsidR="00540E29">
        <w:t xml:space="preserve">[Documents] Bundle- hearing on </w:t>
      </w:r>
      <w:r w:rsidR="004C0F0F">
        <w:t>[date] before [judge</w:t>
      </w:r>
      <w:r w:rsidR="00BA7BE0">
        <w:t>]</w:t>
      </w:r>
      <w:r w:rsidR="007D485D">
        <w:t>"</w:t>
      </w:r>
    </w:p>
    <w:p w14:paraId="542550FC" w14:textId="4AF7DEE3" w:rsidR="008E7FA2" w:rsidRDefault="00967FEA" w:rsidP="00782497">
      <w:pPr>
        <w:pStyle w:val="ListParagraph"/>
        <w:numPr>
          <w:ilvl w:val="1"/>
          <w:numId w:val="1"/>
        </w:numPr>
        <w:ind w:left="1134"/>
      </w:pPr>
      <w:r>
        <w:t>The individual documents may be retained in their native format (</w:t>
      </w:r>
      <w:r w:rsidR="00914909">
        <w:t>eg Word, pdf or Excel)</w:t>
      </w:r>
      <w:r w:rsidR="00BF2D64">
        <w:t xml:space="preserve"> and with </w:t>
      </w:r>
      <w:r w:rsidR="00DF3DAD">
        <w:t xml:space="preserve">any appropriate file name, </w:t>
      </w:r>
      <w:r w:rsidR="00F966D5">
        <w:t xml:space="preserve">BUT each file name must be prefaced with </w:t>
      </w:r>
      <w:r w:rsidR="00492218">
        <w:t xml:space="preserve">a number </w:t>
      </w:r>
      <w:r w:rsidR="003313C1">
        <w:t>corresponding with the relevant Index</w:t>
      </w:r>
      <w:r w:rsidR="00B83AEA">
        <w:t xml:space="preserve">, </w:t>
      </w:r>
      <w:r w:rsidR="00DE0E3D">
        <w:t xml:space="preserve">eg </w:t>
      </w:r>
      <w:r w:rsidR="00786876">
        <w:t>"</w:t>
      </w:r>
      <w:r w:rsidR="00861C9E">
        <w:t xml:space="preserve"> </w:t>
      </w:r>
      <w:r w:rsidR="003C4DAD">
        <w:t xml:space="preserve">4 </w:t>
      </w:r>
      <w:r w:rsidR="00FE6BB5">
        <w:t xml:space="preserve">Smith v Jones </w:t>
      </w:r>
      <w:r w:rsidR="008001B2">
        <w:t>Defence and Counterclaim.doc</w:t>
      </w:r>
      <w:r w:rsidR="00AB7C54">
        <w:t>"</w:t>
      </w:r>
      <w:r w:rsidR="00AD2C6B">
        <w:t xml:space="preserve">. </w:t>
      </w:r>
      <w:r w:rsidR="00682C2E">
        <w:t>This is to ensure they d</w:t>
      </w:r>
      <w:r w:rsidR="00003FD6">
        <w:t xml:space="preserve">isplay in the same order as the index </w:t>
      </w:r>
      <w:r w:rsidR="005C14E8">
        <w:t xml:space="preserve">when saved by the </w:t>
      </w:r>
      <w:r w:rsidR="001B2FB4">
        <w:t>court.</w:t>
      </w:r>
    </w:p>
    <w:p w14:paraId="222E97CA" w14:textId="3363970E" w:rsidR="00FC4246" w:rsidRDefault="00FC4246" w:rsidP="00782497">
      <w:pPr>
        <w:pStyle w:val="ListParagraph"/>
        <w:numPr>
          <w:ilvl w:val="1"/>
          <w:numId w:val="1"/>
        </w:numPr>
        <w:ind w:left="1134"/>
      </w:pPr>
      <w:r>
        <w:t>Each document should be internally paginated if po</w:t>
      </w:r>
      <w:r w:rsidR="009430FE">
        <w:t>ssible.</w:t>
      </w:r>
    </w:p>
    <w:p w14:paraId="0EA6BABF" w14:textId="64C15709" w:rsidR="00FF7A72" w:rsidRDefault="000344A3" w:rsidP="00FF7A72">
      <w:pPr>
        <w:pStyle w:val="ListParagraph"/>
        <w:numPr>
          <w:ilvl w:val="0"/>
          <w:numId w:val="1"/>
        </w:numPr>
      </w:pPr>
      <w:r>
        <w:t>Alternatively, documents may be combined into a single pdf bundle</w:t>
      </w:r>
      <w:r w:rsidR="0019701D">
        <w:t>, but if so:</w:t>
      </w:r>
    </w:p>
    <w:p w14:paraId="6834EBB4" w14:textId="1BAB9D0A" w:rsidR="0019701D" w:rsidRDefault="0019701D" w:rsidP="00782497">
      <w:pPr>
        <w:pStyle w:val="ListParagraph"/>
        <w:numPr>
          <w:ilvl w:val="1"/>
          <w:numId w:val="1"/>
        </w:numPr>
        <w:ind w:left="1134"/>
      </w:pPr>
      <w:r>
        <w:t>It must be indexed</w:t>
      </w:r>
      <w:r w:rsidR="001A21E0">
        <w:t xml:space="preserve"> and bookmarked</w:t>
      </w:r>
      <w:r>
        <w:t>, with hyperlinks from the index t</w:t>
      </w:r>
      <w:r w:rsidR="001A21E0">
        <w:t>o the documents listed</w:t>
      </w:r>
      <w:r w:rsidR="00EB65D0">
        <w:t xml:space="preserve"> and bookmark labels corresponding to the index</w:t>
      </w:r>
      <w:r w:rsidR="001A21E0">
        <w:t>.</w:t>
      </w:r>
    </w:p>
    <w:p w14:paraId="6FF770EE" w14:textId="29527758" w:rsidR="001A21E0" w:rsidRDefault="00D57F61" w:rsidP="00782497">
      <w:pPr>
        <w:pStyle w:val="ListParagraph"/>
        <w:numPr>
          <w:ilvl w:val="1"/>
          <w:numId w:val="1"/>
        </w:numPr>
        <w:ind w:left="1134"/>
      </w:pPr>
      <w:r>
        <w:t xml:space="preserve">Each page </w:t>
      </w:r>
      <w:r w:rsidR="00AF6A14">
        <w:t xml:space="preserve">of the bundle </w:t>
      </w:r>
      <w:r>
        <w:t>must be numbered in a single sequence, and have a default resolution of 100%</w:t>
      </w:r>
      <w:r w:rsidR="00584F89">
        <w:t>.</w:t>
      </w:r>
    </w:p>
    <w:p w14:paraId="1FDD227D" w14:textId="7D912EE5" w:rsidR="00584F89" w:rsidRDefault="00584F89" w:rsidP="00782497">
      <w:pPr>
        <w:pStyle w:val="ListParagraph"/>
        <w:numPr>
          <w:ilvl w:val="1"/>
          <w:numId w:val="1"/>
        </w:numPr>
        <w:ind w:left="1134"/>
      </w:pPr>
      <w:r>
        <w:t xml:space="preserve">Text </w:t>
      </w:r>
      <w:r w:rsidR="000D327F">
        <w:t>should be selectable to facilitate comments and copying.</w:t>
      </w:r>
    </w:p>
    <w:p w14:paraId="45C0F350" w14:textId="63ACEDCB" w:rsidR="00CD34B3" w:rsidRDefault="00CD34B3" w:rsidP="00782497">
      <w:pPr>
        <w:pStyle w:val="ListParagraph"/>
        <w:numPr>
          <w:ilvl w:val="1"/>
          <w:numId w:val="1"/>
        </w:numPr>
        <w:ind w:left="1134"/>
      </w:pPr>
      <w:r>
        <w:t xml:space="preserve">Skeletons </w:t>
      </w:r>
      <w:r w:rsidR="001E5F42">
        <w:t xml:space="preserve">and the index </w:t>
      </w:r>
      <w:r>
        <w:t>should be provided a</w:t>
      </w:r>
      <w:r w:rsidR="001E5F42">
        <w:t>s</w:t>
      </w:r>
      <w:r>
        <w:t xml:space="preserve"> separate documents, even if also</w:t>
      </w:r>
      <w:r w:rsidR="00973562">
        <w:t xml:space="preserve"> included in the combined bundle.</w:t>
      </w:r>
    </w:p>
    <w:p w14:paraId="0856CE53" w14:textId="1F2A2AEB" w:rsidR="001B2FB4" w:rsidRDefault="003249C6" w:rsidP="00BC04CD">
      <w:pPr>
        <w:pStyle w:val="ListParagraph"/>
        <w:numPr>
          <w:ilvl w:val="0"/>
          <w:numId w:val="1"/>
        </w:numPr>
      </w:pPr>
      <w:r>
        <w:t>Generally bundles should comply wi</w:t>
      </w:r>
      <w:r w:rsidR="007C1F74">
        <w:t>th the relevant court guideli</w:t>
      </w:r>
      <w:r w:rsidR="00012B49">
        <w:t>nes as to content</w:t>
      </w:r>
      <w:r w:rsidR="008E3708">
        <w:t xml:space="preserve"> and organisation into sections.</w:t>
      </w:r>
      <w:r w:rsidR="00B32F13">
        <w:t xml:space="preserve"> In particular the bundle</w:t>
      </w:r>
      <w:r w:rsidR="002A23C6">
        <w:t xml:space="preserve"> and index of documents should include any</w:t>
      </w:r>
      <w:r w:rsidR="00657382">
        <w:t xml:space="preserve"> </w:t>
      </w:r>
      <w:r w:rsidR="005512F9">
        <w:t>case summary</w:t>
      </w:r>
      <w:r w:rsidR="00A9464D">
        <w:t xml:space="preserve">, </w:t>
      </w:r>
      <w:r w:rsidR="00657382">
        <w:t>chronology</w:t>
      </w:r>
      <w:r w:rsidR="005512F9">
        <w:t xml:space="preserve"> and dramatis personae.</w:t>
      </w:r>
    </w:p>
    <w:p w14:paraId="27919041" w14:textId="77777777" w:rsidR="003C02AD" w:rsidRDefault="00A9464D" w:rsidP="003C02AD">
      <w:pPr>
        <w:pStyle w:val="ListParagraph"/>
        <w:numPr>
          <w:ilvl w:val="0"/>
          <w:numId w:val="1"/>
        </w:numPr>
      </w:pPr>
      <w:r>
        <w:t>In order to manage the si</w:t>
      </w:r>
      <w:r w:rsidR="003F099D">
        <w:t>ze of electronic bundles however</w:t>
      </w:r>
      <w:r w:rsidR="000D62C6">
        <w:t>:</w:t>
      </w:r>
    </w:p>
    <w:p w14:paraId="524116A8" w14:textId="6BE18C53" w:rsidR="000211BC" w:rsidRPr="003C02AD" w:rsidRDefault="009430FE" w:rsidP="00782497">
      <w:pPr>
        <w:pStyle w:val="ListParagraph"/>
        <w:numPr>
          <w:ilvl w:val="1"/>
          <w:numId w:val="1"/>
        </w:numPr>
        <w:ind w:left="1134"/>
      </w:pPr>
      <w:r>
        <w:t xml:space="preserve">Only those documents </w:t>
      </w:r>
      <w:r w:rsidR="00E02D8E" w:rsidRPr="003C02AD">
        <w:rPr>
          <w:u w:val="single"/>
        </w:rPr>
        <w:t>essential to the conduct of the</w:t>
      </w:r>
      <w:r w:rsidR="002F7571" w:rsidRPr="003C02AD">
        <w:rPr>
          <w:u w:val="single"/>
        </w:rPr>
        <w:t xml:space="preserve"> hearing </w:t>
      </w:r>
      <w:r w:rsidR="002F7571">
        <w:t>should be included</w:t>
      </w:r>
      <w:r w:rsidR="0007183E">
        <w:t xml:space="preserve">. </w:t>
      </w:r>
      <w:r w:rsidR="000211BC" w:rsidRPr="003C02AD">
        <w:rPr>
          <w:sz w:val="24"/>
          <w:szCs w:val="24"/>
        </w:rPr>
        <w:t>For short/single issue applications, the parties should aim for no more than 50 pages. For more substantive hearings (such as PTRs and CCMCs), the parties should aim for no more than 150 pages.</w:t>
      </w:r>
    </w:p>
    <w:p w14:paraId="62D9E0A7" w14:textId="43991B29" w:rsidR="00362D84" w:rsidRDefault="00362D84" w:rsidP="00782497">
      <w:pPr>
        <w:pStyle w:val="ListParagraph"/>
        <w:numPr>
          <w:ilvl w:val="1"/>
          <w:numId w:val="1"/>
        </w:numPr>
        <w:ind w:left="1134"/>
      </w:pPr>
      <w:r w:rsidRPr="00937771">
        <w:rPr>
          <w:b/>
          <w:bCs/>
        </w:rPr>
        <w:t>Authorities</w:t>
      </w:r>
      <w:r>
        <w:t xml:space="preserve"> available on public websites </w:t>
      </w:r>
      <w:r w:rsidR="00C11838">
        <w:t>(such as legislation or cases</w:t>
      </w:r>
      <w:r w:rsidR="00C61291">
        <w:t xml:space="preserve"> reported on BAILII) </w:t>
      </w:r>
      <w:r>
        <w:t>should not be copied in to the bundle; instead the Index should include a hyperlink</w:t>
      </w:r>
      <w:r w:rsidR="00BE5B4F">
        <w:t>.</w:t>
      </w:r>
    </w:p>
    <w:p w14:paraId="4B4B5CF1" w14:textId="6AA9724B" w:rsidR="004508AA" w:rsidRDefault="004508AA" w:rsidP="00782497">
      <w:pPr>
        <w:pStyle w:val="ListParagraph"/>
        <w:numPr>
          <w:ilvl w:val="1"/>
          <w:numId w:val="1"/>
        </w:numPr>
        <w:ind w:left="1134"/>
      </w:pPr>
      <w:r>
        <w:t xml:space="preserve">Authorities not so available may be included in the bundle but if </w:t>
      </w:r>
      <w:r w:rsidR="00DE0A42">
        <w:t>l</w:t>
      </w:r>
      <w:r>
        <w:t xml:space="preserve">engthy </w:t>
      </w:r>
      <w:r w:rsidR="00DE0A42">
        <w:t>they</w:t>
      </w:r>
      <w:r>
        <w:t xml:space="preserve"> should be edited to include only the relevant sections.</w:t>
      </w:r>
    </w:p>
    <w:p w14:paraId="6325C038" w14:textId="474AD3DB" w:rsidR="008430CD" w:rsidRDefault="00096BA4" w:rsidP="008430CD">
      <w:pPr>
        <w:ind w:left="720"/>
      </w:pPr>
      <w:r>
        <w:t>I</w:t>
      </w:r>
      <w:r w:rsidR="00720B6E">
        <w:t xml:space="preserve">f despite </w:t>
      </w:r>
      <w:r w:rsidR="003D440A">
        <w:t xml:space="preserve">liaison parties are unable to agree on the content of either bundle, </w:t>
      </w:r>
      <w:r w:rsidR="00D36B74">
        <w:t>all documents (or sections)</w:t>
      </w:r>
      <w:r w:rsidR="008E0959">
        <w:t xml:space="preserve"> sought by any party should be included</w:t>
      </w:r>
      <w:r w:rsidR="002E0109">
        <w:t>, i</w:t>
      </w:r>
      <w:r w:rsidR="0091031B">
        <w:t>f necessary in an appropriately marked section, rather than filing separate bu</w:t>
      </w:r>
      <w:r w:rsidR="00987A74">
        <w:t>ndles or indices.</w:t>
      </w:r>
    </w:p>
    <w:p w14:paraId="50EC6F51" w14:textId="799F404A" w:rsidR="007350C4" w:rsidRPr="004727D9" w:rsidRDefault="007350C4" w:rsidP="007350C4">
      <w:pPr>
        <w:rPr>
          <w:b/>
          <w:bCs/>
        </w:rPr>
      </w:pPr>
      <w:r w:rsidRPr="004727D9">
        <w:rPr>
          <w:b/>
          <w:bCs/>
        </w:rPr>
        <w:t xml:space="preserve">Conduct of </w:t>
      </w:r>
      <w:r w:rsidR="0043310C">
        <w:rPr>
          <w:b/>
          <w:bCs/>
        </w:rPr>
        <w:t>a</w:t>
      </w:r>
      <w:r w:rsidRPr="004727D9">
        <w:rPr>
          <w:b/>
          <w:bCs/>
        </w:rPr>
        <w:t xml:space="preserve"> </w:t>
      </w:r>
      <w:r w:rsidR="004727D9" w:rsidRPr="004727D9">
        <w:rPr>
          <w:b/>
          <w:bCs/>
        </w:rPr>
        <w:t xml:space="preserve">hearing </w:t>
      </w:r>
      <w:r w:rsidR="000F48EF">
        <w:rPr>
          <w:b/>
          <w:bCs/>
        </w:rPr>
        <w:t xml:space="preserve">by </w:t>
      </w:r>
      <w:r w:rsidR="00143B34">
        <w:rPr>
          <w:b/>
          <w:bCs/>
        </w:rPr>
        <w:t>video conference</w:t>
      </w:r>
    </w:p>
    <w:p w14:paraId="65C19054" w14:textId="77777777" w:rsidR="00621B92" w:rsidRDefault="0087275E" w:rsidP="00042BC6">
      <w:pPr>
        <w:pStyle w:val="ListParagraph"/>
        <w:numPr>
          <w:ilvl w:val="0"/>
          <w:numId w:val="1"/>
        </w:numPr>
      </w:pPr>
      <w:r>
        <w:lastRenderedPageBreak/>
        <w:t>All participants</w:t>
      </w:r>
      <w:r w:rsidR="00B40A37">
        <w:t xml:space="preserve"> other than the judge</w:t>
      </w:r>
      <w:r w:rsidR="00F74C1E">
        <w:t xml:space="preserve"> should join the meeting at least </w:t>
      </w:r>
      <w:r w:rsidR="00B40A37">
        <w:t xml:space="preserve">5 minutes before the expected starting time of the </w:t>
      </w:r>
      <w:r w:rsidR="00DC1F2C">
        <w:t xml:space="preserve">hearing. </w:t>
      </w:r>
    </w:p>
    <w:p w14:paraId="310E2754" w14:textId="5070AF40" w:rsidR="002E1539" w:rsidRPr="001434D0" w:rsidRDefault="00A2123A" w:rsidP="001434D0">
      <w:pPr>
        <w:pStyle w:val="ListParagraph"/>
        <w:numPr>
          <w:ilvl w:val="0"/>
          <w:numId w:val="1"/>
        </w:numPr>
        <w:rPr>
          <w:b/>
          <w:bCs/>
        </w:rPr>
      </w:pPr>
      <w:r>
        <w:t>Non</w:t>
      </w:r>
      <w:r w:rsidR="00C61291">
        <w:t>-</w:t>
      </w:r>
      <w:r>
        <w:t>speaking participants must mute their microphones</w:t>
      </w:r>
      <w:r w:rsidR="00A7357F">
        <w:t xml:space="preserve"> and turn off </w:t>
      </w:r>
      <w:r w:rsidR="0071765A">
        <w:t>their camera</w:t>
      </w:r>
      <w:r w:rsidR="00D030D3">
        <w:t>s</w:t>
      </w:r>
      <w:r w:rsidR="0071765A">
        <w:t xml:space="preserve"> </w:t>
      </w:r>
      <w:r w:rsidR="00A7357F">
        <w:t>(</w:t>
      </w:r>
      <w:r w:rsidR="004B099C">
        <w:t>to reduce the recording file size)</w:t>
      </w:r>
      <w:r w:rsidR="00473AC8">
        <w:t>.</w:t>
      </w:r>
    </w:p>
    <w:p w14:paraId="7A23032D" w14:textId="6BAB98B4" w:rsidR="006C6EBD" w:rsidRDefault="006C6EBD" w:rsidP="000B4F02">
      <w:pPr>
        <w:rPr>
          <w:b/>
          <w:bCs/>
        </w:rPr>
      </w:pPr>
      <w:r w:rsidRPr="000B4F02">
        <w:rPr>
          <w:b/>
          <w:bCs/>
        </w:rPr>
        <w:t xml:space="preserve">Conduct of a hearing by </w:t>
      </w:r>
      <w:r w:rsidR="00A9283B">
        <w:rPr>
          <w:b/>
          <w:bCs/>
        </w:rPr>
        <w:t>telephone conference</w:t>
      </w:r>
    </w:p>
    <w:p w14:paraId="4BB3EDDD" w14:textId="0014BF76" w:rsidR="002742BD" w:rsidRDefault="002742BD" w:rsidP="00042BC6">
      <w:pPr>
        <w:pStyle w:val="ListParagraph"/>
        <w:numPr>
          <w:ilvl w:val="0"/>
          <w:numId w:val="1"/>
        </w:numPr>
      </w:pPr>
      <w:r>
        <w:t>The court will contact all participants in the hearing by telephone at or as soon as possible after the scheduled start time</w:t>
      </w:r>
      <w:r w:rsidR="001957EB">
        <w:t>.</w:t>
      </w:r>
    </w:p>
    <w:p w14:paraId="3AD7D5BC" w14:textId="77777777" w:rsidR="00AF06F9" w:rsidRDefault="00AF06F9" w:rsidP="00AF06F9">
      <w:pPr>
        <w:pStyle w:val="ListParagraph"/>
        <w:numPr>
          <w:ilvl w:val="0"/>
          <w:numId w:val="1"/>
        </w:numPr>
      </w:pPr>
      <w:r>
        <w:t xml:space="preserve">Non speaking participants must mute their microphones by pressing *6 </w:t>
      </w:r>
    </w:p>
    <w:p w14:paraId="307EFA12" w14:textId="3A11E6B0" w:rsidR="001957EB" w:rsidRPr="000B4F02" w:rsidRDefault="004F282F" w:rsidP="000B4F02">
      <w:pPr>
        <w:rPr>
          <w:b/>
          <w:bCs/>
        </w:rPr>
      </w:pPr>
      <w:r w:rsidRPr="000B4F02">
        <w:rPr>
          <w:b/>
          <w:bCs/>
        </w:rPr>
        <w:t>In all cases</w:t>
      </w:r>
    </w:p>
    <w:p w14:paraId="4E6AFAD5" w14:textId="07F34C29" w:rsidR="00EB5167" w:rsidRDefault="00061C89" w:rsidP="00042BC6">
      <w:pPr>
        <w:pStyle w:val="ListParagraph"/>
        <w:numPr>
          <w:ilvl w:val="0"/>
          <w:numId w:val="1"/>
        </w:numPr>
      </w:pPr>
      <w:r>
        <w:t xml:space="preserve">The </w:t>
      </w:r>
      <w:r w:rsidR="00436314">
        <w:t xml:space="preserve">hearing </w:t>
      </w:r>
      <w:r w:rsidR="00CF040E">
        <w:t>will then be conducted as nearly as possible as if a normal court hearing</w:t>
      </w:r>
      <w:r w:rsidR="00295159">
        <w:t>, with all normal formalities</w:t>
      </w:r>
      <w:r w:rsidR="00F574B0">
        <w:t xml:space="preserve"> and conventions</w:t>
      </w:r>
      <w:r w:rsidR="00B22913">
        <w:t xml:space="preserve">, save that </w:t>
      </w:r>
      <w:r w:rsidR="00F7315E">
        <w:t>parties are not required to robe</w:t>
      </w:r>
      <w:r w:rsidR="00CF040E">
        <w:t xml:space="preserve">. </w:t>
      </w:r>
      <w:r w:rsidR="00CD3885">
        <w:t xml:space="preserve">Participants should </w:t>
      </w:r>
      <w:r w:rsidR="00135282">
        <w:t>as far as possible avoid interrupting or over</w:t>
      </w:r>
      <w:r w:rsidR="00612C40">
        <w:t>-</w:t>
      </w:r>
      <w:r w:rsidR="00135282">
        <w:t>speaking, which is apt to</w:t>
      </w:r>
      <w:r w:rsidR="00612C40">
        <w:t xml:space="preserve"> cause confusion</w:t>
      </w:r>
      <w:r w:rsidR="00751138">
        <w:t>.</w:t>
      </w:r>
    </w:p>
    <w:p w14:paraId="72F5F155" w14:textId="4D2C9570" w:rsidR="007E1519" w:rsidRDefault="00621B92" w:rsidP="007E1519">
      <w:pPr>
        <w:pStyle w:val="ListParagraph"/>
        <w:numPr>
          <w:ilvl w:val="0"/>
          <w:numId w:val="1"/>
        </w:numPr>
      </w:pPr>
      <w:r>
        <w:t>The court  will record the hearing. As with any hearing in court, no other party should record the hearing, as this would constitute contempt of court and may be a criminal offence.</w:t>
      </w:r>
    </w:p>
    <w:p w14:paraId="426DD655" w14:textId="1812130D" w:rsidR="007E1519" w:rsidRPr="00937771" w:rsidRDefault="007E1519" w:rsidP="00937771">
      <w:pPr>
        <w:rPr>
          <w:b/>
          <w:bCs/>
        </w:rPr>
      </w:pPr>
      <w:r w:rsidRPr="00937771">
        <w:rPr>
          <w:b/>
          <w:bCs/>
        </w:rPr>
        <w:t>Court Email Address</w:t>
      </w:r>
    </w:p>
    <w:p w14:paraId="7CDB207E" w14:textId="024BD3DE" w:rsidR="00512B2D" w:rsidRDefault="00320B41" w:rsidP="00042BC6">
      <w:pPr>
        <w:pStyle w:val="ListParagraph"/>
        <w:numPr>
          <w:ilvl w:val="0"/>
          <w:numId w:val="1"/>
        </w:numPr>
      </w:pPr>
      <w:r>
        <w:t xml:space="preserve">Any documents </w:t>
      </w:r>
      <w:r w:rsidR="00E02BBB">
        <w:t xml:space="preserve">relating to the hearing </w:t>
      </w:r>
      <w:r w:rsidR="0028461E">
        <w:t>sent to the court by email</w:t>
      </w:r>
      <w:r w:rsidR="00F630C4">
        <w:t xml:space="preserve"> should be sent either to the </w:t>
      </w:r>
      <w:r w:rsidR="006C3ABC">
        <w:t>Birmingham BPC address (</w:t>
      </w:r>
      <w:hyperlink r:id="rId12" w:history="1">
        <w:r w:rsidR="00F500CB" w:rsidRPr="007D60F2">
          <w:rPr>
            <w:rStyle w:val="Hyperlink"/>
          </w:rPr>
          <w:t>BPC.Birmingham@Justice.gov.uk</w:t>
        </w:r>
      </w:hyperlink>
      <w:r w:rsidR="00F500CB">
        <w:t>) or</w:t>
      </w:r>
      <w:r w:rsidR="00716506">
        <w:t xml:space="preserve"> to the address of the relevant judge's clerk (if known). In either case the subject line must include</w:t>
      </w:r>
      <w:r w:rsidR="00AF4569">
        <w:t xml:space="preserve"> the case number and name, and the</w:t>
      </w:r>
      <w:r w:rsidR="00AC0744">
        <w:t xml:space="preserve"> relevant hearing date.</w:t>
      </w:r>
    </w:p>
    <w:p w14:paraId="320B8A72" w14:textId="6C62B97C" w:rsidR="00756E05" w:rsidRDefault="00756E05" w:rsidP="00756E05"/>
    <w:p w14:paraId="2272B4BF" w14:textId="72EFD1AA" w:rsidR="00756E05" w:rsidRDefault="00A9283B" w:rsidP="00756E05">
      <w:r>
        <w:t>V</w:t>
      </w:r>
      <w:r w:rsidR="00814DFE">
        <w:t>6 1.12</w:t>
      </w:r>
      <w:r w:rsidR="00EB2896">
        <w:t>.20</w:t>
      </w:r>
    </w:p>
    <w:p w14:paraId="43E1F556" w14:textId="77777777" w:rsidR="00AC0744" w:rsidRDefault="00AC0744" w:rsidP="00431C49">
      <w:pPr>
        <w:pStyle w:val="ListParagraph"/>
      </w:pPr>
    </w:p>
    <w:p w14:paraId="67DE115B" w14:textId="77777777" w:rsidR="000E7446" w:rsidRPr="00EC1987" w:rsidRDefault="000005CB" w:rsidP="000E7446">
      <w:pPr>
        <w:jc w:val="center"/>
        <w:rPr>
          <w:b/>
          <w:bCs/>
          <w:sz w:val="28"/>
          <w:szCs w:val="28"/>
        </w:rPr>
      </w:pPr>
      <w:r>
        <w:br w:type="page"/>
      </w:r>
      <w:r w:rsidR="000E7446" w:rsidRPr="00EC1987">
        <w:rPr>
          <w:b/>
          <w:bCs/>
          <w:sz w:val="28"/>
          <w:szCs w:val="28"/>
        </w:rPr>
        <w:lastRenderedPageBreak/>
        <w:t>BPC Birmingham</w:t>
      </w:r>
    </w:p>
    <w:p w14:paraId="4D4CBDAE" w14:textId="77777777" w:rsidR="000E7446" w:rsidRDefault="000E7446" w:rsidP="000E7446"/>
    <w:p w14:paraId="14158C16" w14:textId="754A5961" w:rsidR="000E7446" w:rsidRDefault="000E7446" w:rsidP="000E7446">
      <w:pPr>
        <w:rPr>
          <w:b/>
          <w:bCs/>
          <w:sz w:val="24"/>
          <w:szCs w:val="24"/>
        </w:rPr>
      </w:pPr>
      <w:r>
        <w:rPr>
          <w:b/>
          <w:bCs/>
          <w:sz w:val="24"/>
          <w:szCs w:val="24"/>
        </w:rPr>
        <w:t>Remote hearing Attendance Form</w:t>
      </w:r>
    </w:p>
    <w:p w14:paraId="4053CEC8" w14:textId="6BFB3535" w:rsidR="006961BE" w:rsidRDefault="006961BE" w:rsidP="000E7446">
      <w:pPr>
        <w:rPr>
          <w:b/>
          <w:bCs/>
          <w:sz w:val="24"/>
          <w:szCs w:val="24"/>
        </w:rPr>
      </w:pPr>
    </w:p>
    <w:p w14:paraId="1F352C3D" w14:textId="33E9F3C8" w:rsidR="006961BE" w:rsidRDefault="006961BE" w:rsidP="000E7446">
      <w:pPr>
        <w:rPr>
          <w:b/>
          <w:bCs/>
          <w:sz w:val="24"/>
          <w:szCs w:val="24"/>
        </w:rPr>
      </w:pPr>
      <w:r>
        <w:rPr>
          <w:b/>
          <w:bCs/>
          <w:sz w:val="24"/>
          <w:szCs w:val="24"/>
        </w:rPr>
        <w:t>Cas</w:t>
      </w:r>
      <w:r w:rsidR="00C617CB">
        <w:rPr>
          <w:b/>
          <w:bCs/>
          <w:sz w:val="24"/>
          <w:szCs w:val="24"/>
        </w:rPr>
        <w:t xml:space="preserve">e Name: </w:t>
      </w:r>
    </w:p>
    <w:p w14:paraId="313A01BF" w14:textId="77914600" w:rsidR="00C617CB" w:rsidRDefault="00C617CB" w:rsidP="000E7446">
      <w:pPr>
        <w:rPr>
          <w:b/>
          <w:bCs/>
          <w:sz w:val="24"/>
          <w:szCs w:val="24"/>
        </w:rPr>
      </w:pPr>
      <w:r>
        <w:rPr>
          <w:b/>
          <w:bCs/>
          <w:sz w:val="24"/>
          <w:szCs w:val="24"/>
        </w:rPr>
        <w:t xml:space="preserve">Case Number: </w:t>
      </w:r>
    </w:p>
    <w:p w14:paraId="1B3775FF" w14:textId="3CE3A64E" w:rsidR="00C617CB" w:rsidRDefault="001E7FC7" w:rsidP="000E7446">
      <w:pPr>
        <w:rPr>
          <w:b/>
          <w:bCs/>
          <w:sz w:val="24"/>
          <w:szCs w:val="24"/>
        </w:rPr>
      </w:pPr>
      <w:r>
        <w:rPr>
          <w:b/>
          <w:bCs/>
          <w:sz w:val="24"/>
          <w:szCs w:val="24"/>
        </w:rPr>
        <w:t>Hearing Date:</w:t>
      </w:r>
      <w:r>
        <w:rPr>
          <w:b/>
          <w:bCs/>
          <w:sz w:val="24"/>
          <w:szCs w:val="24"/>
        </w:rPr>
        <w:tab/>
      </w:r>
      <w:r>
        <w:rPr>
          <w:b/>
          <w:bCs/>
          <w:sz w:val="24"/>
          <w:szCs w:val="24"/>
        </w:rPr>
        <w:tab/>
      </w:r>
      <w:r>
        <w:rPr>
          <w:b/>
          <w:bCs/>
          <w:sz w:val="24"/>
          <w:szCs w:val="24"/>
        </w:rPr>
        <w:tab/>
      </w:r>
      <w:r w:rsidR="006B3840">
        <w:rPr>
          <w:b/>
          <w:bCs/>
          <w:sz w:val="24"/>
          <w:szCs w:val="24"/>
        </w:rPr>
        <w:t>Time:</w:t>
      </w:r>
      <w:r>
        <w:rPr>
          <w:b/>
          <w:bCs/>
          <w:sz w:val="24"/>
          <w:szCs w:val="24"/>
        </w:rPr>
        <w:tab/>
      </w:r>
      <w:r>
        <w:rPr>
          <w:b/>
          <w:bCs/>
          <w:sz w:val="24"/>
          <w:szCs w:val="24"/>
        </w:rPr>
        <w:tab/>
        <w:t xml:space="preserve">Before: </w:t>
      </w:r>
    </w:p>
    <w:p w14:paraId="5E36BF80" w14:textId="2D908C51" w:rsidR="001E7FC7" w:rsidRPr="00BE310D" w:rsidRDefault="001E7FC7" w:rsidP="000E7446">
      <w:pPr>
        <w:rPr>
          <w:b/>
          <w:bCs/>
          <w:sz w:val="24"/>
          <w:szCs w:val="24"/>
        </w:rPr>
      </w:pPr>
      <w:r>
        <w:rPr>
          <w:b/>
          <w:bCs/>
          <w:sz w:val="24"/>
          <w:szCs w:val="24"/>
        </w:rPr>
        <w:t>Party Filing this form:</w:t>
      </w:r>
      <w:r w:rsidR="00C339AC">
        <w:rPr>
          <w:b/>
          <w:bCs/>
          <w:sz w:val="24"/>
          <w:szCs w:val="24"/>
        </w:rPr>
        <w:t xml:space="preserve"> </w:t>
      </w:r>
    </w:p>
    <w:p w14:paraId="0B8EF027" w14:textId="2B00CEEB" w:rsidR="00586608" w:rsidRDefault="006313E3" w:rsidP="000E7446">
      <w:pPr>
        <w:rPr>
          <w:rStyle w:val="Hyperlink"/>
        </w:rPr>
      </w:pPr>
      <w:r>
        <w:t>[</w:t>
      </w:r>
      <w:r w:rsidR="007F211D">
        <w:t xml:space="preserve">This form </w:t>
      </w:r>
      <w:r w:rsidR="00743FA4">
        <w:t xml:space="preserve">should be completed by the </w:t>
      </w:r>
      <w:r w:rsidR="000F73B1">
        <w:t>C</w:t>
      </w:r>
      <w:r w:rsidR="00743FA4">
        <w:t>laimant/</w:t>
      </w:r>
      <w:r w:rsidR="000F73B1">
        <w:t>A</w:t>
      </w:r>
      <w:r w:rsidR="00743FA4">
        <w:t xml:space="preserve">pplicant </w:t>
      </w:r>
      <w:r w:rsidR="0025797E">
        <w:t xml:space="preserve">and sent to the court, </w:t>
      </w:r>
      <w:r w:rsidR="009577F6">
        <w:t>as a separate</w:t>
      </w:r>
      <w:r w:rsidR="0020764E">
        <w:t xml:space="preserve"> document </w:t>
      </w:r>
      <w:r w:rsidR="0025797E">
        <w:t xml:space="preserve">in Word format, by email to </w:t>
      </w:r>
      <w:hyperlink r:id="rId13" w:history="1">
        <w:r w:rsidR="0025797E" w:rsidRPr="007D60F2">
          <w:rPr>
            <w:rStyle w:val="Hyperlink"/>
          </w:rPr>
          <w:t>BPC.Birmingham@Justice.gov.uk</w:t>
        </w:r>
      </w:hyperlink>
      <w:r w:rsidR="00586608">
        <w:rPr>
          <w:rStyle w:val="Hyperlink"/>
        </w:rPr>
        <w:t>, at least 3 days before the hearing.</w:t>
      </w:r>
    </w:p>
    <w:p w14:paraId="19ABF399" w14:textId="26EBCFF6" w:rsidR="000E7446" w:rsidRDefault="003363B4" w:rsidP="000E7446">
      <w:r>
        <w:t>For a video conference the court will send the joining instructions</w:t>
      </w:r>
      <w:r w:rsidR="00BB67A7">
        <w:t xml:space="preserve"> ONLY </w:t>
      </w:r>
      <w:r>
        <w:t xml:space="preserve"> to the </w:t>
      </w:r>
      <w:r w:rsidR="00BB67A7">
        <w:t>lead participant named for each party</w:t>
      </w:r>
      <w:r w:rsidR="00A15811">
        <w:t>, who must forward them to all other participants for that party.]</w:t>
      </w:r>
    </w:p>
    <w:p w14:paraId="61E87CCA" w14:textId="472F686F" w:rsidR="000758F3" w:rsidRDefault="000758F3"/>
    <w:p w14:paraId="77C20F6E" w14:textId="406DB71B" w:rsidR="00D45D9D" w:rsidRDefault="005740B5">
      <w:pPr>
        <w:rPr>
          <w:b/>
          <w:bCs/>
        </w:rPr>
      </w:pPr>
      <w:r>
        <w:rPr>
          <w:b/>
          <w:bCs/>
        </w:rPr>
        <w:t xml:space="preserve">Lead </w:t>
      </w:r>
      <w:r w:rsidR="00D45D9D">
        <w:rPr>
          <w:b/>
          <w:bCs/>
        </w:rPr>
        <w:t>Participant</w:t>
      </w:r>
      <w:r w:rsidR="004B3144">
        <w:rPr>
          <w:b/>
          <w:bCs/>
        </w:rPr>
        <w:t>s</w:t>
      </w:r>
      <w:r w:rsidR="00F83C04">
        <w:rPr>
          <w:b/>
          <w:bCs/>
        </w:rPr>
        <w:t xml:space="preserve"> </w:t>
      </w:r>
      <w:r w:rsidR="009914E6" w:rsidRPr="009914E6">
        <w:rPr>
          <w:i/>
          <w:iCs/>
        </w:rPr>
        <w:t>(one per party)</w:t>
      </w:r>
      <w:r w:rsidR="00D45D9D">
        <w:rPr>
          <w:b/>
          <w:bCs/>
        </w:rPr>
        <w:t>:</w:t>
      </w:r>
    </w:p>
    <w:tbl>
      <w:tblPr>
        <w:tblStyle w:val="TableGrid"/>
        <w:tblW w:w="0" w:type="auto"/>
        <w:tblLook w:val="04A0" w:firstRow="1" w:lastRow="0" w:firstColumn="1" w:lastColumn="0" w:noHBand="0" w:noVBand="1"/>
      </w:tblPr>
      <w:tblGrid>
        <w:gridCol w:w="2547"/>
        <w:gridCol w:w="1559"/>
        <w:gridCol w:w="1701"/>
        <w:gridCol w:w="3119"/>
      </w:tblGrid>
      <w:tr w:rsidR="002F33E0" w:rsidRPr="00E0511E" w14:paraId="5D922A81" w14:textId="77777777" w:rsidTr="00937771">
        <w:tc>
          <w:tcPr>
            <w:tcW w:w="2547" w:type="dxa"/>
          </w:tcPr>
          <w:p w14:paraId="40B53C42" w14:textId="77777777" w:rsidR="002F33E0" w:rsidRPr="00E0511E" w:rsidRDefault="002F33E0" w:rsidP="004E6E50">
            <w:pPr>
              <w:rPr>
                <w:b/>
                <w:bCs/>
              </w:rPr>
            </w:pPr>
            <w:r w:rsidRPr="00E0511E">
              <w:rPr>
                <w:b/>
                <w:bCs/>
              </w:rPr>
              <w:t>Name</w:t>
            </w:r>
          </w:p>
        </w:tc>
        <w:tc>
          <w:tcPr>
            <w:tcW w:w="1559" w:type="dxa"/>
          </w:tcPr>
          <w:p w14:paraId="03D5834D" w14:textId="4789476B" w:rsidR="002F33E0" w:rsidRPr="00E0511E" w:rsidRDefault="004B3144" w:rsidP="004E6E50">
            <w:pPr>
              <w:rPr>
                <w:b/>
                <w:bCs/>
              </w:rPr>
            </w:pPr>
            <w:r>
              <w:rPr>
                <w:b/>
                <w:bCs/>
              </w:rPr>
              <w:t xml:space="preserve">Party and </w:t>
            </w:r>
            <w:r w:rsidR="00E0124A">
              <w:rPr>
                <w:b/>
                <w:bCs/>
              </w:rPr>
              <w:t>Role</w:t>
            </w:r>
          </w:p>
        </w:tc>
        <w:tc>
          <w:tcPr>
            <w:tcW w:w="1701" w:type="dxa"/>
          </w:tcPr>
          <w:p w14:paraId="311AD3DA" w14:textId="77777777" w:rsidR="002F33E0" w:rsidRPr="00E0511E" w:rsidRDefault="002F33E0" w:rsidP="004E6E50">
            <w:pPr>
              <w:rPr>
                <w:b/>
                <w:bCs/>
              </w:rPr>
            </w:pPr>
            <w:r w:rsidRPr="00E0511E">
              <w:rPr>
                <w:b/>
                <w:bCs/>
              </w:rPr>
              <w:t>Direct Phone</w:t>
            </w:r>
          </w:p>
        </w:tc>
        <w:tc>
          <w:tcPr>
            <w:tcW w:w="3119" w:type="dxa"/>
          </w:tcPr>
          <w:p w14:paraId="6D3E127B" w14:textId="77777777" w:rsidR="002F33E0" w:rsidRDefault="002F33E0" w:rsidP="004E6E50">
            <w:pPr>
              <w:rPr>
                <w:b/>
                <w:bCs/>
              </w:rPr>
            </w:pPr>
            <w:r w:rsidRPr="00E0511E">
              <w:rPr>
                <w:b/>
                <w:bCs/>
              </w:rPr>
              <w:t>Email</w:t>
            </w:r>
            <w:r>
              <w:rPr>
                <w:b/>
                <w:bCs/>
              </w:rPr>
              <w:t xml:space="preserve"> </w:t>
            </w:r>
          </w:p>
          <w:p w14:paraId="0157F30C" w14:textId="3CC20D60" w:rsidR="002F33E0" w:rsidRPr="00FD3C23" w:rsidRDefault="002F33E0" w:rsidP="004E6E50"/>
        </w:tc>
      </w:tr>
      <w:tr w:rsidR="002F33E0" w14:paraId="3DF26F98" w14:textId="77777777" w:rsidTr="006F333E">
        <w:tc>
          <w:tcPr>
            <w:tcW w:w="2547" w:type="dxa"/>
            <w:vAlign w:val="center"/>
          </w:tcPr>
          <w:p w14:paraId="4B75759C" w14:textId="77777777" w:rsidR="002F33E0" w:rsidRPr="006F333E" w:rsidRDefault="002F33E0" w:rsidP="004E6E50">
            <w:pPr>
              <w:rPr>
                <w:vertAlign w:val="superscript"/>
              </w:rPr>
            </w:pPr>
          </w:p>
        </w:tc>
        <w:tc>
          <w:tcPr>
            <w:tcW w:w="1559" w:type="dxa"/>
            <w:vAlign w:val="center"/>
          </w:tcPr>
          <w:p w14:paraId="742DC2A0" w14:textId="4F1D65BC" w:rsidR="002F33E0" w:rsidRDefault="002F33E0" w:rsidP="004E6E50"/>
        </w:tc>
        <w:tc>
          <w:tcPr>
            <w:tcW w:w="1701" w:type="dxa"/>
            <w:vAlign w:val="center"/>
          </w:tcPr>
          <w:p w14:paraId="1A9075FA" w14:textId="77777777" w:rsidR="002F33E0" w:rsidRDefault="002F33E0" w:rsidP="004E6E50"/>
        </w:tc>
        <w:tc>
          <w:tcPr>
            <w:tcW w:w="3119" w:type="dxa"/>
            <w:vAlign w:val="center"/>
          </w:tcPr>
          <w:p w14:paraId="330AC96B" w14:textId="77777777" w:rsidR="002F33E0" w:rsidRDefault="002F33E0" w:rsidP="004E6E50"/>
        </w:tc>
      </w:tr>
      <w:tr w:rsidR="00C120BA" w14:paraId="0D319617" w14:textId="77777777" w:rsidTr="006F333E">
        <w:tc>
          <w:tcPr>
            <w:tcW w:w="2547" w:type="dxa"/>
            <w:vAlign w:val="center"/>
          </w:tcPr>
          <w:p w14:paraId="7B9DDA90" w14:textId="77777777" w:rsidR="00C120BA" w:rsidRPr="006F333E" w:rsidRDefault="00C120BA" w:rsidP="004E6E50">
            <w:pPr>
              <w:rPr>
                <w:vertAlign w:val="superscript"/>
              </w:rPr>
            </w:pPr>
          </w:p>
        </w:tc>
        <w:tc>
          <w:tcPr>
            <w:tcW w:w="1559" w:type="dxa"/>
            <w:vAlign w:val="center"/>
          </w:tcPr>
          <w:p w14:paraId="71D6B4D4" w14:textId="77777777" w:rsidR="00C120BA" w:rsidRDefault="00C120BA" w:rsidP="004E6E50"/>
        </w:tc>
        <w:tc>
          <w:tcPr>
            <w:tcW w:w="1701" w:type="dxa"/>
            <w:vAlign w:val="center"/>
          </w:tcPr>
          <w:p w14:paraId="54E42638" w14:textId="77777777" w:rsidR="00C120BA" w:rsidRDefault="00C120BA" w:rsidP="004E6E50"/>
        </w:tc>
        <w:tc>
          <w:tcPr>
            <w:tcW w:w="3119" w:type="dxa"/>
            <w:vAlign w:val="center"/>
          </w:tcPr>
          <w:p w14:paraId="4F9B2043" w14:textId="77777777" w:rsidR="00C120BA" w:rsidRDefault="00C120BA" w:rsidP="004E6E50"/>
        </w:tc>
      </w:tr>
      <w:tr w:rsidR="00B07FEA" w14:paraId="18004287" w14:textId="77777777" w:rsidTr="006F333E">
        <w:tc>
          <w:tcPr>
            <w:tcW w:w="2547" w:type="dxa"/>
            <w:vAlign w:val="center"/>
          </w:tcPr>
          <w:p w14:paraId="044AC7AA" w14:textId="77777777" w:rsidR="00B07FEA" w:rsidRPr="006F333E" w:rsidRDefault="00B07FEA" w:rsidP="004E6E50">
            <w:pPr>
              <w:rPr>
                <w:vertAlign w:val="superscript"/>
              </w:rPr>
            </w:pPr>
          </w:p>
        </w:tc>
        <w:tc>
          <w:tcPr>
            <w:tcW w:w="1559" w:type="dxa"/>
            <w:vAlign w:val="center"/>
          </w:tcPr>
          <w:p w14:paraId="43DA717D" w14:textId="77777777" w:rsidR="00B07FEA" w:rsidRDefault="00B07FEA" w:rsidP="004E6E50"/>
        </w:tc>
        <w:tc>
          <w:tcPr>
            <w:tcW w:w="1701" w:type="dxa"/>
            <w:vAlign w:val="center"/>
          </w:tcPr>
          <w:p w14:paraId="2E40B31C" w14:textId="77777777" w:rsidR="00B07FEA" w:rsidRDefault="00B07FEA" w:rsidP="004E6E50"/>
        </w:tc>
        <w:tc>
          <w:tcPr>
            <w:tcW w:w="3119" w:type="dxa"/>
            <w:vAlign w:val="center"/>
          </w:tcPr>
          <w:p w14:paraId="032405D4" w14:textId="77777777" w:rsidR="00B07FEA" w:rsidRDefault="00B07FEA" w:rsidP="004E6E50"/>
        </w:tc>
      </w:tr>
      <w:tr w:rsidR="00F83C04" w14:paraId="4240602E" w14:textId="77777777" w:rsidTr="006F333E">
        <w:tc>
          <w:tcPr>
            <w:tcW w:w="2547" w:type="dxa"/>
            <w:vAlign w:val="center"/>
          </w:tcPr>
          <w:p w14:paraId="11ABF2C6" w14:textId="77777777" w:rsidR="00F83C04" w:rsidRPr="006F333E" w:rsidRDefault="00F83C04" w:rsidP="004E6E50">
            <w:pPr>
              <w:rPr>
                <w:vertAlign w:val="superscript"/>
              </w:rPr>
            </w:pPr>
          </w:p>
        </w:tc>
        <w:tc>
          <w:tcPr>
            <w:tcW w:w="1559" w:type="dxa"/>
            <w:vAlign w:val="center"/>
          </w:tcPr>
          <w:p w14:paraId="0C8D631C" w14:textId="77777777" w:rsidR="00F83C04" w:rsidRDefault="00F83C04" w:rsidP="004E6E50"/>
        </w:tc>
        <w:tc>
          <w:tcPr>
            <w:tcW w:w="1701" w:type="dxa"/>
            <w:vAlign w:val="center"/>
          </w:tcPr>
          <w:p w14:paraId="271FE019" w14:textId="77777777" w:rsidR="00F83C04" w:rsidRDefault="00F83C04" w:rsidP="004E6E50"/>
        </w:tc>
        <w:tc>
          <w:tcPr>
            <w:tcW w:w="3119" w:type="dxa"/>
            <w:vAlign w:val="center"/>
          </w:tcPr>
          <w:p w14:paraId="0CE4D808" w14:textId="77777777" w:rsidR="00F83C04" w:rsidRDefault="00F83C04" w:rsidP="004E6E50"/>
        </w:tc>
      </w:tr>
    </w:tbl>
    <w:p w14:paraId="52C18EA8" w14:textId="77777777" w:rsidR="00D45D9D" w:rsidRDefault="00D45D9D">
      <w:pPr>
        <w:rPr>
          <w:b/>
          <w:bCs/>
        </w:rPr>
      </w:pPr>
    </w:p>
    <w:p w14:paraId="6B62CDDB" w14:textId="3A32C63E" w:rsidR="000758F3" w:rsidRPr="00E0511E" w:rsidRDefault="00E0511E">
      <w:pPr>
        <w:rPr>
          <w:b/>
          <w:bCs/>
        </w:rPr>
      </w:pPr>
      <w:r w:rsidRPr="00E0511E">
        <w:rPr>
          <w:b/>
          <w:bCs/>
        </w:rPr>
        <w:t xml:space="preserve">All </w:t>
      </w:r>
      <w:r w:rsidR="003F5529">
        <w:rPr>
          <w:b/>
          <w:bCs/>
        </w:rPr>
        <w:t xml:space="preserve">Other </w:t>
      </w:r>
      <w:r w:rsidRPr="00E0511E">
        <w:rPr>
          <w:b/>
          <w:bCs/>
        </w:rPr>
        <w:t xml:space="preserve">Persons attending for </w:t>
      </w:r>
      <w:r w:rsidR="00B07FEA">
        <w:rPr>
          <w:b/>
          <w:bCs/>
        </w:rPr>
        <w:t>………</w:t>
      </w:r>
      <w:r w:rsidR="007A368A">
        <w:rPr>
          <w:b/>
          <w:bCs/>
        </w:rPr>
        <w:t>…….</w:t>
      </w:r>
      <w:r w:rsidR="00B07FEA">
        <w:rPr>
          <w:b/>
          <w:bCs/>
        </w:rPr>
        <w:t>……</w:t>
      </w:r>
      <w:r w:rsidRPr="00E0511E">
        <w:rPr>
          <w:b/>
          <w:bCs/>
        </w:rPr>
        <w:t xml:space="preserve"> </w:t>
      </w:r>
      <w:r w:rsidR="00B2503F" w:rsidRPr="00B2503F">
        <w:rPr>
          <w:i/>
          <w:iCs/>
        </w:rPr>
        <w:t>(</w:t>
      </w:r>
      <w:r w:rsidRPr="00B2503F">
        <w:rPr>
          <w:i/>
          <w:iCs/>
        </w:rPr>
        <w:t>party</w:t>
      </w:r>
      <w:r w:rsidR="00B2503F" w:rsidRPr="00B2503F">
        <w:rPr>
          <w:i/>
          <w:iCs/>
        </w:rPr>
        <w:t>)</w:t>
      </w:r>
    </w:p>
    <w:tbl>
      <w:tblPr>
        <w:tblStyle w:val="TableGrid"/>
        <w:tblW w:w="0" w:type="auto"/>
        <w:tblLook w:val="04A0" w:firstRow="1" w:lastRow="0" w:firstColumn="1" w:lastColumn="0" w:noHBand="0" w:noVBand="1"/>
      </w:tblPr>
      <w:tblGrid>
        <w:gridCol w:w="2537"/>
        <w:gridCol w:w="1556"/>
        <w:gridCol w:w="1714"/>
      </w:tblGrid>
      <w:tr w:rsidR="00A335EE" w:rsidRPr="00E0511E" w14:paraId="0B088B45" w14:textId="77777777" w:rsidTr="00937771">
        <w:tc>
          <w:tcPr>
            <w:tcW w:w="2537" w:type="dxa"/>
          </w:tcPr>
          <w:p w14:paraId="0967329E" w14:textId="7D1579AA" w:rsidR="00A335EE" w:rsidRPr="00E0511E" w:rsidRDefault="00A335EE">
            <w:pPr>
              <w:rPr>
                <w:b/>
                <w:bCs/>
              </w:rPr>
            </w:pPr>
            <w:r w:rsidRPr="00E0511E">
              <w:rPr>
                <w:b/>
                <w:bCs/>
              </w:rPr>
              <w:t>Name</w:t>
            </w:r>
          </w:p>
        </w:tc>
        <w:tc>
          <w:tcPr>
            <w:tcW w:w="1556" w:type="dxa"/>
          </w:tcPr>
          <w:p w14:paraId="570D99A2" w14:textId="349B11D8" w:rsidR="00A335EE" w:rsidRPr="00E0511E" w:rsidRDefault="00E0124A">
            <w:pPr>
              <w:rPr>
                <w:b/>
                <w:bCs/>
              </w:rPr>
            </w:pPr>
            <w:r>
              <w:rPr>
                <w:b/>
                <w:bCs/>
              </w:rPr>
              <w:t>Role</w:t>
            </w:r>
          </w:p>
        </w:tc>
        <w:tc>
          <w:tcPr>
            <w:tcW w:w="1714" w:type="dxa"/>
          </w:tcPr>
          <w:p w14:paraId="3FCBCB92" w14:textId="5E1CFCC7" w:rsidR="00A335EE" w:rsidRPr="00E0511E" w:rsidRDefault="00A335EE">
            <w:pPr>
              <w:rPr>
                <w:b/>
                <w:bCs/>
              </w:rPr>
            </w:pPr>
            <w:r w:rsidRPr="00E0511E">
              <w:rPr>
                <w:b/>
                <w:bCs/>
              </w:rPr>
              <w:t>Direct Phone</w:t>
            </w:r>
            <w:r>
              <w:rPr>
                <w:b/>
                <w:bCs/>
              </w:rPr>
              <w:t xml:space="preserve"> </w:t>
            </w:r>
            <w:r w:rsidRPr="00937771">
              <w:rPr>
                <w:b/>
                <w:bCs/>
                <w:sz w:val="18"/>
                <w:szCs w:val="18"/>
              </w:rPr>
              <w:t>(if hearing is by telephone)</w:t>
            </w:r>
          </w:p>
        </w:tc>
      </w:tr>
      <w:tr w:rsidR="00A335EE" w14:paraId="2B875EEC" w14:textId="77777777" w:rsidTr="00937771">
        <w:tc>
          <w:tcPr>
            <w:tcW w:w="2537" w:type="dxa"/>
            <w:vAlign w:val="center"/>
          </w:tcPr>
          <w:p w14:paraId="61D382F2" w14:textId="77777777" w:rsidR="00A335EE" w:rsidRDefault="00A335EE"/>
        </w:tc>
        <w:tc>
          <w:tcPr>
            <w:tcW w:w="1556" w:type="dxa"/>
            <w:vAlign w:val="center"/>
          </w:tcPr>
          <w:p w14:paraId="0A53768D" w14:textId="77777777" w:rsidR="00A335EE" w:rsidRDefault="00A335EE"/>
        </w:tc>
        <w:tc>
          <w:tcPr>
            <w:tcW w:w="1714" w:type="dxa"/>
            <w:vAlign w:val="center"/>
          </w:tcPr>
          <w:p w14:paraId="3EF7C3A2" w14:textId="77777777" w:rsidR="00A335EE" w:rsidRDefault="00A335EE"/>
        </w:tc>
      </w:tr>
      <w:tr w:rsidR="00A335EE" w14:paraId="74975DF4" w14:textId="77777777" w:rsidTr="00937771">
        <w:tc>
          <w:tcPr>
            <w:tcW w:w="2537" w:type="dxa"/>
            <w:vAlign w:val="center"/>
          </w:tcPr>
          <w:p w14:paraId="0351593B" w14:textId="77777777" w:rsidR="00A335EE" w:rsidRDefault="00A335EE"/>
        </w:tc>
        <w:tc>
          <w:tcPr>
            <w:tcW w:w="1556" w:type="dxa"/>
            <w:vAlign w:val="center"/>
          </w:tcPr>
          <w:p w14:paraId="62D8E993" w14:textId="77777777" w:rsidR="00A335EE" w:rsidRDefault="00A335EE"/>
        </w:tc>
        <w:tc>
          <w:tcPr>
            <w:tcW w:w="1714" w:type="dxa"/>
            <w:vAlign w:val="center"/>
          </w:tcPr>
          <w:p w14:paraId="36858EA3" w14:textId="77777777" w:rsidR="00A335EE" w:rsidRDefault="00A335EE"/>
        </w:tc>
      </w:tr>
      <w:tr w:rsidR="00A335EE" w14:paraId="50068548" w14:textId="77777777" w:rsidTr="00937771">
        <w:tc>
          <w:tcPr>
            <w:tcW w:w="2537" w:type="dxa"/>
            <w:vAlign w:val="center"/>
          </w:tcPr>
          <w:p w14:paraId="6DFC40E4" w14:textId="77777777" w:rsidR="00A335EE" w:rsidRDefault="00A335EE"/>
        </w:tc>
        <w:tc>
          <w:tcPr>
            <w:tcW w:w="1556" w:type="dxa"/>
            <w:vAlign w:val="center"/>
          </w:tcPr>
          <w:p w14:paraId="0152505C" w14:textId="77777777" w:rsidR="00A335EE" w:rsidRDefault="00A335EE"/>
        </w:tc>
        <w:tc>
          <w:tcPr>
            <w:tcW w:w="1714" w:type="dxa"/>
            <w:vAlign w:val="center"/>
          </w:tcPr>
          <w:p w14:paraId="4DE191B1" w14:textId="77777777" w:rsidR="00A335EE" w:rsidRDefault="00A335EE"/>
        </w:tc>
      </w:tr>
      <w:tr w:rsidR="00A335EE" w14:paraId="649C28A4" w14:textId="77777777" w:rsidTr="00937771">
        <w:tc>
          <w:tcPr>
            <w:tcW w:w="2537" w:type="dxa"/>
            <w:vAlign w:val="center"/>
          </w:tcPr>
          <w:p w14:paraId="2534015C" w14:textId="77777777" w:rsidR="00A335EE" w:rsidRDefault="00A335EE"/>
        </w:tc>
        <w:tc>
          <w:tcPr>
            <w:tcW w:w="1556" w:type="dxa"/>
            <w:vAlign w:val="center"/>
          </w:tcPr>
          <w:p w14:paraId="5724F6F8" w14:textId="77777777" w:rsidR="00A335EE" w:rsidRDefault="00A335EE"/>
        </w:tc>
        <w:tc>
          <w:tcPr>
            <w:tcW w:w="1714" w:type="dxa"/>
            <w:vAlign w:val="center"/>
          </w:tcPr>
          <w:p w14:paraId="40236C0C" w14:textId="77777777" w:rsidR="00A335EE" w:rsidRDefault="00A335EE"/>
        </w:tc>
      </w:tr>
    </w:tbl>
    <w:p w14:paraId="5CF9435C" w14:textId="77777777" w:rsidR="00EC35F1" w:rsidRDefault="00EC35F1"/>
    <w:p w14:paraId="78B67C01" w14:textId="553054D1" w:rsidR="00EC35F1" w:rsidRPr="00E0511E" w:rsidRDefault="00EC35F1" w:rsidP="00EC35F1">
      <w:pPr>
        <w:rPr>
          <w:b/>
          <w:bCs/>
        </w:rPr>
      </w:pPr>
      <w:r w:rsidRPr="00E0511E">
        <w:rPr>
          <w:b/>
          <w:bCs/>
        </w:rPr>
        <w:t xml:space="preserve">All </w:t>
      </w:r>
      <w:r>
        <w:rPr>
          <w:b/>
          <w:bCs/>
        </w:rPr>
        <w:t xml:space="preserve">Other </w:t>
      </w:r>
      <w:r w:rsidRPr="00E0511E">
        <w:rPr>
          <w:b/>
          <w:bCs/>
        </w:rPr>
        <w:t xml:space="preserve">Persons attending for </w:t>
      </w:r>
      <w:r w:rsidR="007A368A">
        <w:rPr>
          <w:b/>
          <w:bCs/>
        </w:rPr>
        <w:t>…………….……</w:t>
      </w:r>
      <w:r w:rsidR="007A368A" w:rsidRPr="00E0511E">
        <w:rPr>
          <w:b/>
          <w:bCs/>
        </w:rPr>
        <w:t xml:space="preserve"> </w:t>
      </w:r>
      <w:r w:rsidR="007A368A" w:rsidRPr="00B2503F">
        <w:rPr>
          <w:i/>
          <w:iCs/>
        </w:rPr>
        <w:t>(party)</w:t>
      </w:r>
    </w:p>
    <w:tbl>
      <w:tblPr>
        <w:tblStyle w:val="TableGrid"/>
        <w:tblW w:w="0" w:type="auto"/>
        <w:tblLook w:val="04A0" w:firstRow="1" w:lastRow="0" w:firstColumn="1" w:lastColumn="0" w:noHBand="0" w:noVBand="1"/>
      </w:tblPr>
      <w:tblGrid>
        <w:gridCol w:w="2537"/>
        <w:gridCol w:w="1556"/>
        <w:gridCol w:w="1714"/>
      </w:tblGrid>
      <w:tr w:rsidR="00EC35F1" w:rsidRPr="00E0511E" w14:paraId="510CFABC" w14:textId="77777777" w:rsidTr="004E6E50">
        <w:tc>
          <w:tcPr>
            <w:tcW w:w="2537" w:type="dxa"/>
          </w:tcPr>
          <w:p w14:paraId="0BC02A8D" w14:textId="77777777" w:rsidR="00EC35F1" w:rsidRPr="00E0511E" w:rsidRDefault="00EC35F1" w:rsidP="004E6E50">
            <w:pPr>
              <w:rPr>
                <w:b/>
                <w:bCs/>
              </w:rPr>
            </w:pPr>
            <w:r w:rsidRPr="00E0511E">
              <w:rPr>
                <w:b/>
                <w:bCs/>
              </w:rPr>
              <w:t>Name</w:t>
            </w:r>
          </w:p>
        </w:tc>
        <w:tc>
          <w:tcPr>
            <w:tcW w:w="1556" w:type="dxa"/>
          </w:tcPr>
          <w:p w14:paraId="662D242F" w14:textId="77777777" w:rsidR="00EC35F1" w:rsidRPr="00E0511E" w:rsidRDefault="00EC35F1" w:rsidP="004E6E50">
            <w:pPr>
              <w:rPr>
                <w:b/>
                <w:bCs/>
              </w:rPr>
            </w:pPr>
            <w:r w:rsidRPr="00E0511E">
              <w:rPr>
                <w:b/>
                <w:bCs/>
              </w:rPr>
              <w:t>Capacity</w:t>
            </w:r>
          </w:p>
        </w:tc>
        <w:tc>
          <w:tcPr>
            <w:tcW w:w="1714" w:type="dxa"/>
          </w:tcPr>
          <w:p w14:paraId="6CD20B6B" w14:textId="77777777" w:rsidR="00EC35F1" w:rsidRPr="00E0511E" w:rsidRDefault="00EC35F1" w:rsidP="004E6E50">
            <w:pPr>
              <w:rPr>
                <w:b/>
                <w:bCs/>
              </w:rPr>
            </w:pPr>
            <w:r w:rsidRPr="00E0511E">
              <w:rPr>
                <w:b/>
                <w:bCs/>
              </w:rPr>
              <w:t>Direct Phone</w:t>
            </w:r>
            <w:r>
              <w:rPr>
                <w:b/>
                <w:bCs/>
              </w:rPr>
              <w:t xml:space="preserve"> </w:t>
            </w:r>
            <w:r w:rsidRPr="004E6E50">
              <w:rPr>
                <w:b/>
                <w:bCs/>
                <w:sz w:val="18"/>
                <w:szCs w:val="18"/>
              </w:rPr>
              <w:t>(if hearing is by telephone)</w:t>
            </w:r>
          </w:p>
        </w:tc>
      </w:tr>
      <w:tr w:rsidR="00EC35F1" w14:paraId="458E1BBB" w14:textId="77777777" w:rsidTr="00937771">
        <w:tc>
          <w:tcPr>
            <w:tcW w:w="2537" w:type="dxa"/>
            <w:vAlign w:val="center"/>
          </w:tcPr>
          <w:p w14:paraId="79FBE9AA" w14:textId="77777777" w:rsidR="00EC35F1" w:rsidRDefault="00EC35F1" w:rsidP="004E6E50"/>
        </w:tc>
        <w:tc>
          <w:tcPr>
            <w:tcW w:w="1556" w:type="dxa"/>
            <w:vAlign w:val="center"/>
          </w:tcPr>
          <w:p w14:paraId="50402A20" w14:textId="77777777" w:rsidR="00EC35F1" w:rsidRDefault="00EC35F1" w:rsidP="004E6E50"/>
        </w:tc>
        <w:tc>
          <w:tcPr>
            <w:tcW w:w="1714" w:type="dxa"/>
            <w:vAlign w:val="center"/>
          </w:tcPr>
          <w:p w14:paraId="489CE1C5" w14:textId="77777777" w:rsidR="00EC35F1" w:rsidRDefault="00EC35F1" w:rsidP="004E6E50"/>
        </w:tc>
      </w:tr>
      <w:tr w:rsidR="00EC35F1" w14:paraId="5C1FC548" w14:textId="77777777" w:rsidTr="00937771">
        <w:tc>
          <w:tcPr>
            <w:tcW w:w="2537" w:type="dxa"/>
            <w:vAlign w:val="center"/>
          </w:tcPr>
          <w:p w14:paraId="77CAB49D" w14:textId="77777777" w:rsidR="00EC35F1" w:rsidRDefault="00EC35F1" w:rsidP="004E6E50"/>
        </w:tc>
        <w:tc>
          <w:tcPr>
            <w:tcW w:w="1556" w:type="dxa"/>
            <w:vAlign w:val="center"/>
          </w:tcPr>
          <w:p w14:paraId="367FE984" w14:textId="77777777" w:rsidR="00EC35F1" w:rsidRDefault="00EC35F1" w:rsidP="004E6E50"/>
        </w:tc>
        <w:tc>
          <w:tcPr>
            <w:tcW w:w="1714" w:type="dxa"/>
            <w:vAlign w:val="center"/>
          </w:tcPr>
          <w:p w14:paraId="642E37CE" w14:textId="77777777" w:rsidR="00EC35F1" w:rsidRDefault="00EC35F1" w:rsidP="004E6E50"/>
        </w:tc>
      </w:tr>
      <w:tr w:rsidR="00EC35F1" w14:paraId="31464DA7" w14:textId="77777777" w:rsidTr="00937771">
        <w:tc>
          <w:tcPr>
            <w:tcW w:w="2537" w:type="dxa"/>
            <w:vAlign w:val="center"/>
          </w:tcPr>
          <w:p w14:paraId="49E04721" w14:textId="77777777" w:rsidR="00EC35F1" w:rsidRDefault="00EC35F1" w:rsidP="004E6E50"/>
        </w:tc>
        <w:tc>
          <w:tcPr>
            <w:tcW w:w="1556" w:type="dxa"/>
            <w:vAlign w:val="center"/>
          </w:tcPr>
          <w:p w14:paraId="3C158D03" w14:textId="77777777" w:rsidR="00EC35F1" w:rsidRDefault="00EC35F1" w:rsidP="004E6E50"/>
        </w:tc>
        <w:tc>
          <w:tcPr>
            <w:tcW w:w="1714" w:type="dxa"/>
            <w:vAlign w:val="center"/>
          </w:tcPr>
          <w:p w14:paraId="21CF85A2" w14:textId="77777777" w:rsidR="00EC35F1" w:rsidRDefault="00EC35F1" w:rsidP="004E6E50"/>
        </w:tc>
      </w:tr>
      <w:tr w:rsidR="00EC35F1" w14:paraId="6500AEB6" w14:textId="77777777" w:rsidTr="00937771">
        <w:tc>
          <w:tcPr>
            <w:tcW w:w="2537" w:type="dxa"/>
            <w:vAlign w:val="center"/>
          </w:tcPr>
          <w:p w14:paraId="711DC32D" w14:textId="77777777" w:rsidR="00EC35F1" w:rsidRDefault="00EC35F1" w:rsidP="004E6E50"/>
        </w:tc>
        <w:tc>
          <w:tcPr>
            <w:tcW w:w="1556" w:type="dxa"/>
            <w:vAlign w:val="center"/>
          </w:tcPr>
          <w:p w14:paraId="1DD58871" w14:textId="77777777" w:rsidR="00EC35F1" w:rsidRDefault="00EC35F1" w:rsidP="004E6E50"/>
        </w:tc>
        <w:tc>
          <w:tcPr>
            <w:tcW w:w="1714" w:type="dxa"/>
            <w:vAlign w:val="center"/>
          </w:tcPr>
          <w:p w14:paraId="23E00A87" w14:textId="77777777" w:rsidR="00EC35F1" w:rsidRDefault="00EC35F1" w:rsidP="004E6E50"/>
        </w:tc>
      </w:tr>
    </w:tbl>
    <w:p w14:paraId="7A84109A" w14:textId="77777777" w:rsidR="00E0124A" w:rsidRDefault="00E0124A"/>
    <w:p w14:paraId="1D2BFC20" w14:textId="47703AD2" w:rsidR="00C972CB" w:rsidRDefault="008B558A">
      <w:r>
        <w:t>[repeat as required for further parties]</w:t>
      </w:r>
      <w:r w:rsidR="00C972CB">
        <w:br w:type="page"/>
      </w:r>
    </w:p>
    <w:p w14:paraId="485B4D96" w14:textId="77777777" w:rsidR="00A335EE" w:rsidRDefault="00A335EE"/>
    <w:p w14:paraId="240595CE" w14:textId="77777777" w:rsidR="000005CB" w:rsidRDefault="000005CB"/>
    <w:p w14:paraId="10E17F14" w14:textId="77777777" w:rsidR="006801FE" w:rsidRPr="00EC1987" w:rsidRDefault="006801FE" w:rsidP="006801FE">
      <w:pPr>
        <w:jc w:val="center"/>
        <w:rPr>
          <w:b/>
          <w:bCs/>
          <w:sz w:val="28"/>
          <w:szCs w:val="28"/>
        </w:rPr>
      </w:pPr>
      <w:r w:rsidRPr="00EC1987">
        <w:rPr>
          <w:b/>
          <w:bCs/>
          <w:sz w:val="28"/>
          <w:szCs w:val="28"/>
        </w:rPr>
        <w:t>BPC Birmingham</w:t>
      </w:r>
    </w:p>
    <w:p w14:paraId="35D4D392" w14:textId="77777777" w:rsidR="006801FE" w:rsidRDefault="006801FE" w:rsidP="006801FE"/>
    <w:p w14:paraId="40C56673" w14:textId="77777777" w:rsidR="006801FE" w:rsidRPr="00EC1987" w:rsidRDefault="006801FE" w:rsidP="006615DC">
      <w:pPr>
        <w:jc w:val="center"/>
        <w:rPr>
          <w:b/>
          <w:bCs/>
          <w:sz w:val="24"/>
          <w:szCs w:val="24"/>
        </w:rPr>
      </w:pPr>
      <w:r w:rsidRPr="00EC1987">
        <w:rPr>
          <w:b/>
          <w:bCs/>
          <w:sz w:val="24"/>
          <w:szCs w:val="24"/>
        </w:rPr>
        <w:t xml:space="preserve">Joint </w:t>
      </w:r>
      <w:r>
        <w:rPr>
          <w:b/>
          <w:bCs/>
          <w:sz w:val="24"/>
          <w:szCs w:val="24"/>
        </w:rPr>
        <w:t>Authorities</w:t>
      </w:r>
      <w:r w:rsidRPr="00EC1987">
        <w:rPr>
          <w:b/>
          <w:bCs/>
          <w:sz w:val="24"/>
          <w:szCs w:val="24"/>
        </w:rPr>
        <w:t xml:space="preserve"> Index</w:t>
      </w:r>
    </w:p>
    <w:p w14:paraId="26AE4141" w14:textId="77777777" w:rsidR="00CE5F50" w:rsidRDefault="00CE5F50" w:rsidP="00CE5F50">
      <w:pPr>
        <w:rPr>
          <w:b/>
          <w:bCs/>
          <w:sz w:val="24"/>
          <w:szCs w:val="24"/>
        </w:rPr>
      </w:pPr>
      <w:r>
        <w:rPr>
          <w:b/>
          <w:bCs/>
          <w:sz w:val="24"/>
          <w:szCs w:val="24"/>
        </w:rPr>
        <w:t xml:space="preserve">Case Name: </w:t>
      </w:r>
    </w:p>
    <w:p w14:paraId="060A14E9" w14:textId="77777777" w:rsidR="00CE5F50" w:rsidRDefault="00CE5F50" w:rsidP="00CE5F50">
      <w:pPr>
        <w:rPr>
          <w:b/>
          <w:bCs/>
          <w:sz w:val="24"/>
          <w:szCs w:val="24"/>
        </w:rPr>
      </w:pPr>
      <w:r>
        <w:rPr>
          <w:b/>
          <w:bCs/>
          <w:sz w:val="24"/>
          <w:szCs w:val="24"/>
        </w:rPr>
        <w:t xml:space="preserve">Case Number: </w:t>
      </w:r>
    </w:p>
    <w:p w14:paraId="4BD0EE42" w14:textId="49497500" w:rsidR="00CE5F50" w:rsidRDefault="00CE5F50" w:rsidP="00CE5F50">
      <w:pPr>
        <w:rPr>
          <w:b/>
          <w:bCs/>
          <w:sz w:val="24"/>
          <w:szCs w:val="24"/>
        </w:rPr>
      </w:pPr>
      <w:r>
        <w:rPr>
          <w:b/>
          <w:bCs/>
          <w:sz w:val="24"/>
          <w:szCs w:val="24"/>
        </w:rPr>
        <w:t>Hearing Date:</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Before: </w:t>
      </w:r>
    </w:p>
    <w:p w14:paraId="0EABDB9B" w14:textId="55DDB121" w:rsidR="006801FE" w:rsidRDefault="006801FE" w:rsidP="006801FE"/>
    <w:p w14:paraId="34E1292A" w14:textId="3596EB77" w:rsidR="00066D37" w:rsidRDefault="00066D37" w:rsidP="006801FE">
      <w:r>
        <w:t>[please provide this</w:t>
      </w:r>
      <w:r w:rsidR="007867DD">
        <w:t xml:space="preserve"> as a separate document</w:t>
      </w:r>
      <w:r>
        <w:t xml:space="preserve"> in Word format by email to </w:t>
      </w:r>
      <w:hyperlink r:id="rId14" w:history="1">
        <w:r w:rsidRPr="007D60F2">
          <w:rPr>
            <w:rStyle w:val="Hyperlink"/>
          </w:rPr>
          <w:t>BPC.Birmingham@Justice.gov.uk</w:t>
        </w:r>
      </w:hyperlink>
      <w:r>
        <w:t>)]</w:t>
      </w:r>
    </w:p>
    <w:p w14:paraId="721472F7" w14:textId="7797322C" w:rsidR="006801FE" w:rsidRDefault="006801FE" w:rsidP="006801FE">
      <w:r>
        <w:t>[This should be an index to a joint bundle agreed by all parties in accordance with the court's direction. If any party has not agreed the index or content of the bundle, an explanation should be provided by separate letter]</w:t>
      </w:r>
    </w:p>
    <w:p w14:paraId="7E6CAC61" w14:textId="762EFD53" w:rsidR="00D42726" w:rsidRDefault="00CE7D67" w:rsidP="006801FE">
      <w:r>
        <w:t xml:space="preserve">[Authorities available on public websites </w:t>
      </w:r>
      <w:r w:rsidR="002B57EE">
        <w:t xml:space="preserve">such as legislation and cases on BAILII should not be copied into the bundle. Instead please insert a </w:t>
      </w:r>
      <w:hyperlink r:id="rId15" w:history="1">
        <w:r w:rsidR="002B57EE" w:rsidRPr="00DC52F6">
          <w:rPr>
            <w:rStyle w:val="Hyperlink"/>
          </w:rPr>
          <w:t>hyperlink</w:t>
        </w:r>
      </w:hyperlink>
      <w:r w:rsidR="002B57EE" w:rsidRPr="008336D6">
        <w:rPr>
          <w:color w:val="4472C4" w:themeColor="accent1"/>
        </w:rPr>
        <w:t xml:space="preserve"> </w:t>
      </w:r>
      <w:r w:rsidR="002B57EE">
        <w:t xml:space="preserve">in the </w:t>
      </w:r>
      <w:r w:rsidR="007A62E1">
        <w:t>Description</w:t>
      </w:r>
      <w:r w:rsidR="002B57EE">
        <w:t xml:space="preserve"> line</w:t>
      </w:r>
      <w:r w:rsidR="007A62E1">
        <w:t>]</w:t>
      </w:r>
    </w:p>
    <w:p w14:paraId="158B6DA3" w14:textId="7AF83668" w:rsidR="006801FE" w:rsidRDefault="006801FE" w:rsidP="006801FE">
      <w:r>
        <w:t xml:space="preserve">[Please ensure that individual documents </w:t>
      </w:r>
      <w:r w:rsidR="00896A6D">
        <w:t xml:space="preserve"> that are included in the bundle </w:t>
      </w:r>
      <w:r>
        <w:t>are named in accordance with the format specified in the court's direction, and in particular that their numbers correspond with the index. Late additions may be inserted with intermediate numbering, eg 8.1, 9.2.1 etc]</w:t>
      </w:r>
    </w:p>
    <w:tbl>
      <w:tblPr>
        <w:tblStyle w:val="TableGrid"/>
        <w:tblW w:w="9067" w:type="dxa"/>
        <w:tblLook w:val="04A0" w:firstRow="1" w:lastRow="0" w:firstColumn="1" w:lastColumn="0" w:noHBand="0" w:noVBand="1"/>
      </w:tblPr>
      <w:tblGrid>
        <w:gridCol w:w="988"/>
        <w:gridCol w:w="8079"/>
      </w:tblGrid>
      <w:tr w:rsidR="006801FE" w:rsidRPr="00EC1987" w14:paraId="60DB4259" w14:textId="77777777" w:rsidTr="00A76B3D">
        <w:tc>
          <w:tcPr>
            <w:tcW w:w="988" w:type="dxa"/>
          </w:tcPr>
          <w:p w14:paraId="20F9BC17" w14:textId="77777777" w:rsidR="006801FE" w:rsidRPr="00EC1987" w:rsidRDefault="006801FE" w:rsidP="00A76B3D">
            <w:pPr>
              <w:rPr>
                <w:b/>
                <w:bCs/>
              </w:rPr>
            </w:pPr>
            <w:r w:rsidRPr="00EC1987">
              <w:rPr>
                <w:b/>
                <w:bCs/>
              </w:rPr>
              <w:t>Doc No</w:t>
            </w:r>
          </w:p>
        </w:tc>
        <w:tc>
          <w:tcPr>
            <w:tcW w:w="8079" w:type="dxa"/>
          </w:tcPr>
          <w:p w14:paraId="27B188D6" w14:textId="77777777" w:rsidR="006801FE" w:rsidRPr="00EC1987" w:rsidRDefault="006801FE" w:rsidP="00A76B3D">
            <w:pPr>
              <w:rPr>
                <w:b/>
                <w:bCs/>
              </w:rPr>
            </w:pPr>
            <w:r w:rsidRPr="00EC1987">
              <w:rPr>
                <w:b/>
                <w:bCs/>
              </w:rPr>
              <w:t>Brief Description</w:t>
            </w:r>
          </w:p>
        </w:tc>
      </w:tr>
      <w:tr w:rsidR="006801FE" w14:paraId="7D0136DF" w14:textId="77777777" w:rsidTr="00937771">
        <w:tc>
          <w:tcPr>
            <w:tcW w:w="988" w:type="dxa"/>
            <w:vAlign w:val="center"/>
          </w:tcPr>
          <w:p w14:paraId="568D2A8B" w14:textId="77777777" w:rsidR="006801FE" w:rsidRDefault="006801FE" w:rsidP="00A76B3D"/>
        </w:tc>
        <w:tc>
          <w:tcPr>
            <w:tcW w:w="8079" w:type="dxa"/>
            <w:vAlign w:val="center"/>
          </w:tcPr>
          <w:p w14:paraId="00A60B04" w14:textId="77777777" w:rsidR="006801FE" w:rsidRDefault="006801FE" w:rsidP="00A76B3D"/>
        </w:tc>
      </w:tr>
      <w:tr w:rsidR="006801FE" w14:paraId="6AA92A39" w14:textId="77777777" w:rsidTr="00937771">
        <w:tc>
          <w:tcPr>
            <w:tcW w:w="988" w:type="dxa"/>
            <w:vAlign w:val="center"/>
          </w:tcPr>
          <w:p w14:paraId="32A2FF7A" w14:textId="77777777" w:rsidR="006801FE" w:rsidRDefault="006801FE" w:rsidP="00A76B3D"/>
        </w:tc>
        <w:tc>
          <w:tcPr>
            <w:tcW w:w="8079" w:type="dxa"/>
            <w:vAlign w:val="center"/>
          </w:tcPr>
          <w:p w14:paraId="322FB114" w14:textId="77777777" w:rsidR="006801FE" w:rsidRDefault="006801FE" w:rsidP="00A76B3D"/>
        </w:tc>
      </w:tr>
      <w:tr w:rsidR="006801FE" w14:paraId="72E64D47" w14:textId="77777777" w:rsidTr="00937771">
        <w:tc>
          <w:tcPr>
            <w:tcW w:w="988" w:type="dxa"/>
            <w:vAlign w:val="center"/>
          </w:tcPr>
          <w:p w14:paraId="76C5C45D" w14:textId="77777777" w:rsidR="006801FE" w:rsidRDefault="006801FE" w:rsidP="00A76B3D"/>
        </w:tc>
        <w:tc>
          <w:tcPr>
            <w:tcW w:w="8079" w:type="dxa"/>
            <w:vAlign w:val="center"/>
          </w:tcPr>
          <w:p w14:paraId="1C0B2710" w14:textId="77777777" w:rsidR="006801FE" w:rsidRDefault="006801FE" w:rsidP="00A76B3D"/>
        </w:tc>
      </w:tr>
      <w:tr w:rsidR="006801FE" w14:paraId="46CFB91E" w14:textId="77777777" w:rsidTr="00937771">
        <w:tc>
          <w:tcPr>
            <w:tcW w:w="988" w:type="dxa"/>
            <w:vAlign w:val="center"/>
          </w:tcPr>
          <w:p w14:paraId="082F8D0A" w14:textId="77777777" w:rsidR="006801FE" w:rsidRDefault="006801FE" w:rsidP="00A76B3D"/>
        </w:tc>
        <w:tc>
          <w:tcPr>
            <w:tcW w:w="8079" w:type="dxa"/>
            <w:vAlign w:val="center"/>
          </w:tcPr>
          <w:p w14:paraId="23427002" w14:textId="77777777" w:rsidR="006801FE" w:rsidRDefault="006801FE" w:rsidP="00A76B3D"/>
        </w:tc>
      </w:tr>
      <w:tr w:rsidR="006801FE" w14:paraId="2D3994BF" w14:textId="77777777" w:rsidTr="00937771">
        <w:tc>
          <w:tcPr>
            <w:tcW w:w="988" w:type="dxa"/>
            <w:vAlign w:val="center"/>
          </w:tcPr>
          <w:p w14:paraId="29FD9D2D" w14:textId="77777777" w:rsidR="006801FE" w:rsidRDefault="006801FE" w:rsidP="00A76B3D"/>
        </w:tc>
        <w:tc>
          <w:tcPr>
            <w:tcW w:w="8079" w:type="dxa"/>
            <w:vAlign w:val="center"/>
          </w:tcPr>
          <w:p w14:paraId="018382B2" w14:textId="77777777" w:rsidR="006801FE" w:rsidRDefault="006801FE" w:rsidP="00A76B3D"/>
        </w:tc>
      </w:tr>
      <w:tr w:rsidR="006801FE" w14:paraId="08A80BDB" w14:textId="77777777" w:rsidTr="00937771">
        <w:tc>
          <w:tcPr>
            <w:tcW w:w="988" w:type="dxa"/>
            <w:vAlign w:val="center"/>
          </w:tcPr>
          <w:p w14:paraId="150C3211" w14:textId="77777777" w:rsidR="006801FE" w:rsidRDefault="006801FE" w:rsidP="00A76B3D"/>
        </w:tc>
        <w:tc>
          <w:tcPr>
            <w:tcW w:w="8079" w:type="dxa"/>
            <w:vAlign w:val="center"/>
          </w:tcPr>
          <w:p w14:paraId="0FE96A84" w14:textId="77777777" w:rsidR="006801FE" w:rsidRDefault="006801FE" w:rsidP="00A76B3D"/>
        </w:tc>
      </w:tr>
    </w:tbl>
    <w:p w14:paraId="31DB8DBD" w14:textId="77777777" w:rsidR="006801FE" w:rsidRDefault="006801FE" w:rsidP="006801FE"/>
    <w:p w14:paraId="23AF52F6" w14:textId="4ED95E31" w:rsidR="006801FE" w:rsidRDefault="006801FE">
      <w:r>
        <w:br w:type="page"/>
      </w:r>
    </w:p>
    <w:p w14:paraId="39B68D9B" w14:textId="77777777" w:rsidR="00F77A74" w:rsidRPr="00EC1987" w:rsidRDefault="00F77A74" w:rsidP="00F77A74">
      <w:pPr>
        <w:jc w:val="center"/>
        <w:rPr>
          <w:b/>
          <w:bCs/>
          <w:sz w:val="28"/>
          <w:szCs w:val="28"/>
        </w:rPr>
      </w:pPr>
      <w:r w:rsidRPr="00EC1987">
        <w:rPr>
          <w:b/>
          <w:bCs/>
          <w:sz w:val="28"/>
          <w:szCs w:val="28"/>
        </w:rPr>
        <w:lastRenderedPageBreak/>
        <w:t>BPC Birmingham</w:t>
      </w:r>
    </w:p>
    <w:p w14:paraId="2B634043" w14:textId="77777777" w:rsidR="00F77A74" w:rsidRDefault="00F77A74" w:rsidP="00F77A74"/>
    <w:p w14:paraId="19A512B9" w14:textId="77777777" w:rsidR="00F77A74" w:rsidRPr="00EC1987" w:rsidRDefault="00F77A74" w:rsidP="006615DC">
      <w:pPr>
        <w:jc w:val="center"/>
        <w:rPr>
          <w:b/>
          <w:bCs/>
          <w:sz w:val="24"/>
          <w:szCs w:val="24"/>
        </w:rPr>
      </w:pPr>
      <w:r w:rsidRPr="00EC1987">
        <w:rPr>
          <w:b/>
          <w:bCs/>
          <w:sz w:val="24"/>
          <w:szCs w:val="24"/>
        </w:rPr>
        <w:t>Joint Hearing Bundle Index</w:t>
      </w:r>
    </w:p>
    <w:p w14:paraId="0A136A7A" w14:textId="77777777" w:rsidR="00CE5F50" w:rsidRDefault="00CE5F50" w:rsidP="00CE5F50">
      <w:pPr>
        <w:rPr>
          <w:b/>
          <w:bCs/>
          <w:sz w:val="24"/>
          <w:szCs w:val="24"/>
        </w:rPr>
      </w:pPr>
      <w:r>
        <w:rPr>
          <w:b/>
          <w:bCs/>
          <w:sz w:val="24"/>
          <w:szCs w:val="24"/>
        </w:rPr>
        <w:t xml:space="preserve">Case Name: </w:t>
      </w:r>
    </w:p>
    <w:p w14:paraId="25E88A89" w14:textId="77777777" w:rsidR="00CE5F50" w:rsidRDefault="00CE5F50" w:rsidP="00CE5F50">
      <w:pPr>
        <w:rPr>
          <w:b/>
          <w:bCs/>
          <w:sz w:val="24"/>
          <w:szCs w:val="24"/>
        </w:rPr>
      </w:pPr>
      <w:r>
        <w:rPr>
          <w:b/>
          <w:bCs/>
          <w:sz w:val="24"/>
          <w:szCs w:val="24"/>
        </w:rPr>
        <w:t xml:space="preserve">Case Number: </w:t>
      </w:r>
    </w:p>
    <w:p w14:paraId="651776CB" w14:textId="2C1F6B94" w:rsidR="00CE5F50" w:rsidRDefault="00CE5F50" w:rsidP="00CE5F50">
      <w:pPr>
        <w:rPr>
          <w:b/>
          <w:bCs/>
          <w:sz w:val="24"/>
          <w:szCs w:val="24"/>
        </w:rPr>
      </w:pPr>
      <w:r>
        <w:rPr>
          <w:b/>
          <w:bCs/>
          <w:sz w:val="24"/>
          <w:szCs w:val="24"/>
        </w:rPr>
        <w:t>Hearing Date:</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Before: </w:t>
      </w:r>
    </w:p>
    <w:p w14:paraId="1A185514" w14:textId="3E0A5B4E" w:rsidR="00F77A74" w:rsidRDefault="00F77A74" w:rsidP="00F77A74"/>
    <w:p w14:paraId="56741469" w14:textId="66DFDFBB" w:rsidR="003A42E7" w:rsidRDefault="003A42E7" w:rsidP="003A42E7">
      <w:r>
        <w:t>[please provide this</w:t>
      </w:r>
      <w:r w:rsidR="007867DD">
        <w:t xml:space="preserve"> as a separate document </w:t>
      </w:r>
      <w:r>
        <w:t xml:space="preserve">in Word format by email to </w:t>
      </w:r>
      <w:hyperlink r:id="rId16" w:history="1">
        <w:r w:rsidRPr="007D60F2">
          <w:rPr>
            <w:rStyle w:val="Hyperlink"/>
          </w:rPr>
          <w:t>BPC.Birmingham@Justice.gov.uk</w:t>
        </w:r>
      </w:hyperlink>
      <w:r>
        <w:t>)]</w:t>
      </w:r>
    </w:p>
    <w:p w14:paraId="3284A128" w14:textId="0F2E6262" w:rsidR="00F77A74" w:rsidRDefault="00F77A74" w:rsidP="00F77A74">
      <w:r>
        <w:t>[This should be an index to a joint bundle agreed by all parties in accordance with the court's direction. If any party has not agreed the index or content of the bundle, an explanation should be provided by separate letter]</w:t>
      </w:r>
    </w:p>
    <w:p w14:paraId="01810F10" w14:textId="50E8A73E" w:rsidR="00FE466D" w:rsidRDefault="00FE7033" w:rsidP="00F77A74">
      <w:r>
        <w:t xml:space="preserve">[Documents must be sent to the court </w:t>
      </w:r>
      <w:r w:rsidRPr="00FE7033">
        <w:rPr>
          <w:u w:val="single"/>
        </w:rPr>
        <w:t>by email</w:t>
      </w:r>
      <w:r>
        <w:rPr>
          <w:u w:val="single"/>
        </w:rPr>
        <w:t xml:space="preserve"> (NOT Cefile)</w:t>
      </w:r>
      <w:r w:rsidR="00011D79" w:rsidRPr="00011D79">
        <w:t xml:space="preserve"> and may be zipped</w:t>
      </w:r>
      <w:r w:rsidR="00251544">
        <w:t xml:space="preserve"> to reduce size</w:t>
      </w:r>
      <w:r w:rsidR="00553F0F">
        <w:t xml:space="preserve">. Alternatively </w:t>
      </w:r>
      <w:r w:rsidR="00FC775B">
        <w:t xml:space="preserve">parties may </w:t>
      </w:r>
      <w:r w:rsidR="00FA7125">
        <w:t xml:space="preserve">provide a link to a suitable site from which </w:t>
      </w:r>
      <w:r w:rsidR="00270FD7">
        <w:t>the court can download the documents.</w:t>
      </w:r>
      <w:r w:rsidR="00251544">
        <w:t>]</w:t>
      </w:r>
    </w:p>
    <w:p w14:paraId="25273A8C" w14:textId="77777777" w:rsidR="00F77A74" w:rsidRDefault="00F77A74" w:rsidP="00F77A74">
      <w:r>
        <w:t>[Please ensure that individual documents are named in accordance with the format specified in the court's direction, and in particular that their numbers correspond with the index. Late additions may be inserted with intermediate numbering, eg 25.1, 27.2.1 etc]</w:t>
      </w:r>
    </w:p>
    <w:tbl>
      <w:tblPr>
        <w:tblStyle w:val="TableGrid"/>
        <w:tblW w:w="0" w:type="auto"/>
        <w:tblLook w:val="04A0" w:firstRow="1" w:lastRow="0" w:firstColumn="1" w:lastColumn="0" w:noHBand="0" w:noVBand="1"/>
      </w:tblPr>
      <w:tblGrid>
        <w:gridCol w:w="988"/>
        <w:gridCol w:w="6378"/>
        <w:gridCol w:w="1650"/>
      </w:tblGrid>
      <w:tr w:rsidR="00F77A74" w:rsidRPr="00EC1987" w14:paraId="473FEC07" w14:textId="77777777" w:rsidTr="00A76B3D">
        <w:tc>
          <w:tcPr>
            <w:tcW w:w="988" w:type="dxa"/>
          </w:tcPr>
          <w:p w14:paraId="6CFDDD7B" w14:textId="77777777" w:rsidR="00F77A74" w:rsidRPr="00EC1987" w:rsidRDefault="00F77A74" w:rsidP="00A76B3D">
            <w:pPr>
              <w:rPr>
                <w:b/>
                <w:bCs/>
              </w:rPr>
            </w:pPr>
            <w:r w:rsidRPr="00EC1987">
              <w:rPr>
                <w:b/>
                <w:bCs/>
              </w:rPr>
              <w:t>Doc No</w:t>
            </w:r>
          </w:p>
        </w:tc>
        <w:tc>
          <w:tcPr>
            <w:tcW w:w="6378" w:type="dxa"/>
          </w:tcPr>
          <w:p w14:paraId="6226A29B" w14:textId="77777777" w:rsidR="00F77A74" w:rsidRPr="00EC1987" w:rsidRDefault="00F77A74" w:rsidP="00A76B3D">
            <w:pPr>
              <w:rPr>
                <w:b/>
                <w:bCs/>
              </w:rPr>
            </w:pPr>
            <w:r w:rsidRPr="00EC1987">
              <w:rPr>
                <w:b/>
                <w:bCs/>
              </w:rPr>
              <w:t>Brief Description</w:t>
            </w:r>
          </w:p>
        </w:tc>
        <w:tc>
          <w:tcPr>
            <w:tcW w:w="1650" w:type="dxa"/>
          </w:tcPr>
          <w:p w14:paraId="7F38F5F0" w14:textId="77777777" w:rsidR="00F77A74" w:rsidRPr="00EC1987" w:rsidRDefault="00F77A74" w:rsidP="00A76B3D">
            <w:pPr>
              <w:rPr>
                <w:b/>
                <w:bCs/>
              </w:rPr>
            </w:pPr>
            <w:r w:rsidRPr="00EC1987">
              <w:rPr>
                <w:b/>
                <w:bCs/>
              </w:rPr>
              <w:t>Date</w:t>
            </w:r>
          </w:p>
        </w:tc>
      </w:tr>
      <w:tr w:rsidR="00F77A74" w14:paraId="67F1E499" w14:textId="77777777" w:rsidTr="00937771">
        <w:tc>
          <w:tcPr>
            <w:tcW w:w="988" w:type="dxa"/>
            <w:vAlign w:val="center"/>
          </w:tcPr>
          <w:p w14:paraId="7A4E9B7C" w14:textId="77777777" w:rsidR="00F77A74" w:rsidRDefault="00F77A74" w:rsidP="00A76B3D"/>
        </w:tc>
        <w:tc>
          <w:tcPr>
            <w:tcW w:w="6378" w:type="dxa"/>
            <w:vAlign w:val="center"/>
          </w:tcPr>
          <w:p w14:paraId="34AFE72C" w14:textId="77777777" w:rsidR="00F77A74" w:rsidRDefault="00F77A74" w:rsidP="00A76B3D"/>
        </w:tc>
        <w:tc>
          <w:tcPr>
            <w:tcW w:w="1650" w:type="dxa"/>
            <w:vAlign w:val="center"/>
          </w:tcPr>
          <w:p w14:paraId="5B445807" w14:textId="77777777" w:rsidR="00F77A74" w:rsidRDefault="00F77A74" w:rsidP="00A76B3D"/>
        </w:tc>
      </w:tr>
      <w:tr w:rsidR="00F77A74" w14:paraId="20AA1E56" w14:textId="77777777" w:rsidTr="00937771">
        <w:tc>
          <w:tcPr>
            <w:tcW w:w="988" w:type="dxa"/>
            <w:vAlign w:val="center"/>
          </w:tcPr>
          <w:p w14:paraId="45DBBC8A" w14:textId="77777777" w:rsidR="00F77A74" w:rsidRDefault="00F77A74" w:rsidP="00A76B3D"/>
        </w:tc>
        <w:tc>
          <w:tcPr>
            <w:tcW w:w="6378" w:type="dxa"/>
            <w:vAlign w:val="center"/>
          </w:tcPr>
          <w:p w14:paraId="19DCD6BF" w14:textId="77777777" w:rsidR="00F77A74" w:rsidRDefault="00F77A74" w:rsidP="00A76B3D"/>
        </w:tc>
        <w:tc>
          <w:tcPr>
            <w:tcW w:w="1650" w:type="dxa"/>
            <w:vAlign w:val="center"/>
          </w:tcPr>
          <w:p w14:paraId="48272458" w14:textId="77777777" w:rsidR="00F77A74" w:rsidRDefault="00F77A74" w:rsidP="00A76B3D"/>
        </w:tc>
      </w:tr>
      <w:tr w:rsidR="00F77A74" w14:paraId="74FAD146" w14:textId="77777777" w:rsidTr="00937771">
        <w:tc>
          <w:tcPr>
            <w:tcW w:w="988" w:type="dxa"/>
            <w:vAlign w:val="center"/>
          </w:tcPr>
          <w:p w14:paraId="395A7EF7" w14:textId="77777777" w:rsidR="00F77A74" w:rsidRDefault="00F77A74" w:rsidP="00A76B3D"/>
        </w:tc>
        <w:tc>
          <w:tcPr>
            <w:tcW w:w="6378" w:type="dxa"/>
            <w:vAlign w:val="center"/>
          </w:tcPr>
          <w:p w14:paraId="5FC5ACA2" w14:textId="77777777" w:rsidR="00F77A74" w:rsidRDefault="00F77A74" w:rsidP="00A76B3D"/>
        </w:tc>
        <w:tc>
          <w:tcPr>
            <w:tcW w:w="1650" w:type="dxa"/>
            <w:vAlign w:val="center"/>
          </w:tcPr>
          <w:p w14:paraId="3D7CBA10" w14:textId="77777777" w:rsidR="00F77A74" w:rsidRDefault="00F77A74" w:rsidP="00A76B3D"/>
        </w:tc>
      </w:tr>
      <w:tr w:rsidR="00F77A74" w14:paraId="08F5DE16" w14:textId="77777777" w:rsidTr="00937771">
        <w:tc>
          <w:tcPr>
            <w:tcW w:w="988" w:type="dxa"/>
            <w:vAlign w:val="center"/>
          </w:tcPr>
          <w:p w14:paraId="553B65FC" w14:textId="77777777" w:rsidR="00F77A74" w:rsidRDefault="00F77A74" w:rsidP="00A76B3D"/>
        </w:tc>
        <w:tc>
          <w:tcPr>
            <w:tcW w:w="6378" w:type="dxa"/>
            <w:vAlign w:val="center"/>
          </w:tcPr>
          <w:p w14:paraId="62C4629D" w14:textId="77777777" w:rsidR="00F77A74" w:rsidRDefault="00F77A74" w:rsidP="00A76B3D"/>
        </w:tc>
        <w:tc>
          <w:tcPr>
            <w:tcW w:w="1650" w:type="dxa"/>
            <w:vAlign w:val="center"/>
          </w:tcPr>
          <w:p w14:paraId="23081AB9" w14:textId="77777777" w:rsidR="00F77A74" w:rsidRDefault="00F77A74" w:rsidP="00A76B3D"/>
        </w:tc>
      </w:tr>
      <w:tr w:rsidR="00F77A74" w14:paraId="3E00C99E" w14:textId="77777777" w:rsidTr="00937771">
        <w:tc>
          <w:tcPr>
            <w:tcW w:w="988" w:type="dxa"/>
            <w:vAlign w:val="center"/>
          </w:tcPr>
          <w:p w14:paraId="5B55B248" w14:textId="77777777" w:rsidR="00F77A74" w:rsidRDefault="00F77A74" w:rsidP="00A76B3D"/>
        </w:tc>
        <w:tc>
          <w:tcPr>
            <w:tcW w:w="6378" w:type="dxa"/>
            <w:vAlign w:val="center"/>
          </w:tcPr>
          <w:p w14:paraId="01A54828" w14:textId="77777777" w:rsidR="00F77A74" w:rsidRDefault="00F77A74" w:rsidP="00A76B3D"/>
        </w:tc>
        <w:tc>
          <w:tcPr>
            <w:tcW w:w="1650" w:type="dxa"/>
            <w:vAlign w:val="center"/>
          </w:tcPr>
          <w:p w14:paraId="3CCDCB66" w14:textId="77777777" w:rsidR="00F77A74" w:rsidRDefault="00F77A74" w:rsidP="00A76B3D"/>
        </w:tc>
      </w:tr>
      <w:tr w:rsidR="00F77A74" w14:paraId="561B391F" w14:textId="77777777" w:rsidTr="00937771">
        <w:tc>
          <w:tcPr>
            <w:tcW w:w="988" w:type="dxa"/>
            <w:vAlign w:val="center"/>
          </w:tcPr>
          <w:p w14:paraId="3F43953B" w14:textId="77777777" w:rsidR="00F77A74" w:rsidRDefault="00F77A74" w:rsidP="00A76B3D"/>
        </w:tc>
        <w:tc>
          <w:tcPr>
            <w:tcW w:w="6378" w:type="dxa"/>
            <w:vAlign w:val="center"/>
          </w:tcPr>
          <w:p w14:paraId="1EC0C251" w14:textId="77777777" w:rsidR="00F77A74" w:rsidRDefault="00F77A74" w:rsidP="00A76B3D"/>
        </w:tc>
        <w:tc>
          <w:tcPr>
            <w:tcW w:w="1650" w:type="dxa"/>
            <w:vAlign w:val="center"/>
          </w:tcPr>
          <w:p w14:paraId="63EB54A5" w14:textId="77777777" w:rsidR="00F77A74" w:rsidRDefault="00F77A74" w:rsidP="00A76B3D"/>
        </w:tc>
      </w:tr>
    </w:tbl>
    <w:p w14:paraId="6D6B4BC7" w14:textId="77777777" w:rsidR="00F77A74" w:rsidRDefault="00F77A74" w:rsidP="00F77A74"/>
    <w:p w14:paraId="03FF6DC9" w14:textId="77777777" w:rsidR="00042BC6" w:rsidRDefault="00042BC6" w:rsidP="008430CD">
      <w:pPr>
        <w:ind w:left="720"/>
      </w:pPr>
    </w:p>
    <w:sectPr w:rsidR="00042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9D10D" w14:textId="77777777" w:rsidR="009C3672" w:rsidRDefault="009C3672" w:rsidP="00610448">
      <w:pPr>
        <w:spacing w:after="0"/>
      </w:pPr>
      <w:r>
        <w:separator/>
      </w:r>
    </w:p>
  </w:endnote>
  <w:endnote w:type="continuationSeparator" w:id="0">
    <w:p w14:paraId="4FD0482D" w14:textId="77777777" w:rsidR="009C3672" w:rsidRDefault="009C3672" w:rsidP="006104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1237" w14:textId="77777777" w:rsidR="009C3672" w:rsidRDefault="009C3672" w:rsidP="00610448">
      <w:pPr>
        <w:spacing w:after="0"/>
      </w:pPr>
      <w:r>
        <w:separator/>
      </w:r>
    </w:p>
  </w:footnote>
  <w:footnote w:type="continuationSeparator" w:id="0">
    <w:p w14:paraId="2B06094A" w14:textId="77777777" w:rsidR="009C3672" w:rsidRDefault="009C3672" w:rsidP="00610448">
      <w:pPr>
        <w:spacing w:after="0"/>
      </w:pPr>
      <w:r>
        <w:continuationSeparator/>
      </w:r>
    </w:p>
  </w:footnote>
  <w:footnote w:id="1">
    <w:p w14:paraId="2F1E712C" w14:textId="5F17D536" w:rsidR="003329DE" w:rsidRDefault="003329DE">
      <w:pPr>
        <w:pStyle w:val="FootnoteText"/>
      </w:pPr>
      <w:r>
        <w:rPr>
          <w:rStyle w:val="FootnoteReference"/>
        </w:rPr>
        <w:footnoteRef/>
      </w:r>
      <w:r>
        <w:t xml:space="preserve"> </w:t>
      </w:r>
      <w:r w:rsidR="004E70BA" w:rsidRPr="004E70BA">
        <w:t>https://www.gov.uk/government/publications/how-to-join-a-cloud-video-platform-cvp-hearing/how-to-join-cloud-video-platform-cvp-for-a-video-hearing</w:t>
      </w:r>
    </w:p>
  </w:footnote>
  <w:footnote w:id="2">
    <w:p w14:paraId="1C763637" w14:textId="65FB09D6" w:rsidR="00610448" w:rsidRDefault="00610448">
      <w:pPr>
        <w:pStyle w:val="FootnoteText"/>
      </w:pPr>
      <w:r>
        <w:rPr>
          <w:rStyle w:val="FootnoteReference"/>
        </w:rPr>
        <w:footnoteRef/>
      </w:r>
      <w:r>
        <w:t xml:space="preserve"> </w:t>
      </w:r>
      <w:r w:rsidR="00985CF3">
        <w:t>Links</w:t>
      </w:r>
      <w:r w:rsidR="00111DB7">
        <w:t xml:space="preserve">: </w:t>
      </w:r>
      <w:r w:rsidR="00097C50">
        <w:t>For Skype hearings t</w:t>
      </w:r>
      <w:r w:rsidR="00111DB7">
        <w:t xml:space="preserve">hese </w:t>
      </w:r>
      <w:r w:rsidR="000B1504">
        <w:t xml:space="preserve">articles </w:t>
      </w:r>
      <w:r w:rsidR="00610A71">
        <w:t xml:space="preserve">may assist </w:t>
      </w:r>
      <w:r w:rsidR="00D057E9">
        <w:t>participants</w:t>
      </w:r>
      <w:r w:rsidR="00C8265E">
        <w:t xml:space="preserve"> without a Skype for</w:t>
      </w:r>
      <w:r w:rsidR="00D057E9">
        <w:t xml:space="preserve"> Business account </w:t>
      </w:r>
      <w:r w:rsidR="002B3057">
        <w:t>using</w:t>
      </w:r>
      <w:r w:rsidR="003A3244">
        <w:t xml:space="preserve"> </w:t>
      </w:r>
      <w:hyperlink r:id="rId1" w:history="1">
        <w:r w:rsidR="00486EB4" w:rsidRPr="00254BC0">
          <w:rPr>
            <w:rStyle w:val="Hyperlink"/>
          </w:rPr>
          <w:t>Ipad/Android</w:t>
        </w:r>
      </w:hyperlink>
      <w:r w:rsidR="00486EB4">
        <w:t xml:space="preserve"> or </w:t>
      </w:r>
      <w:hyperlink r:id="rId2" w:history="1">
        <w:r w:rsidR="00486EB4" w:rsidRPr="007B1801">
          <w:rPr>
            <w:rStyle w:val="Hyperlink"/>
          </w:rPr>
          <w:t>PC</w:t>
        </w:r>
      </w:hyperlink>
      <w:r w:rsidR="008B19E8">
        <w:t xml:space="preserve"> devices</w:t>
      </w:r>
      <w:r w:rsidR="00D057E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77CB7"/>
    <w:multiLevelType w:val="hybridMultilevel"/>
    <w:tmpl w:val="E93641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B64A1"/>
    <w:multiLevelType w:val="hybridMultilevel"/>
    <w:tmpl w:val="E93641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736DD4"/>
    <w:multiLevelType w:val="hybridMultilevel"/>
    <w:tmpl w:val="3BF8FF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B5"/>
    <w:rsid w:val="000005CB"/>
    <w:rsid w:val="00001220"/>
    <w:rsid w:val="00001530"/>
    <w:rsid w:val="00003FD6"/>
    <w:rsid w:val="00005CB6"/>
    <w:rsid w:val="00011D79"/>
    <w:rsid w:val="00012B49"/>
    <w:rsid w:val="00017BC3"/>
    <w:rsid w:val="000211BC"/>
    <w:rsid w:val="0003038A"/>
    <w:rsid w:val="00031A02"/>
    <w:rsid w:val="000344A3"/>
    <w:rsid w:val="0004079B"/>
    <w:rsid w:val="00042BC6"/>
    <w:rsid w:val="00047D41"/>
    <w:rsid w:val="000512DE"/>
    <w:rsid w:val="00060C45"/>
    <w:rsid w:val="00061C89"/>
    <w:rsid w:val="00066D37"/>
    <w:rsid w:val="0007183E"/>
    <w:rsid w:val="000758F3"/>
    <w:rsid w:val="0008074C"/>
    <w:rsid w:val="000915CF"/>
    <w:rsid w:val="00096BA4"/>
    <w:rsid w:val="00097C50"/>
    <w:rsid w:val="000A4A28"/>
    <w:rsid w:val="000B0A84"/>
    <w:rsid w:val="000B1504"/>
    <w:rsid w:val="000B4F02"/>
    <w:rsid w:val="000C7DA0"/>
    <w:rsid w:val="000D327F"/>
    <w:rsid w:val="000D47B4"/>
    <w:rsid w:val="000D62C6"/>
    <w:rsid w:val="000D73B7"/>
    <w:rsid w:val="000E7446"/>
    <w:rsid w:val="000F48EF"/>
    <w:rsid w:val="000F73B1"/>
    <w:rsid w:val="00100F22"/>
    <w:rsid w:val="00111DB7"/>
    <w:rsid w:val="001142AB"/>
    <w:rsid w:val="0013374D"/>
    <w:rsid w:val="00133A5F"/>
    <w:rsid w:val="00135282"/>
    <w:rsid w:val="0013695F"/>
    <w:rsid w:val="001424A1"/>
    <w:rsid w:val="001434D0"/>
    <w:rsid w:val="00143B34"/>
    <w:rsid w:val="00152734"/>
    <w:rsid w:val="001663A1"/>
    <w:rsid w:val="0017347C"/>
    <w:rsid w:val="001827C4"/>
    <w:rsid w:val="00182B5D"/>
    <w:rsid w:val="00183C02"/>
    <w:rsid w:val="001861F4"/>
    <w:rsid w:val="001957EB"/>
    <w:rsid w:val="0019701D"/>
    <w:rsid w:val="001A21E0"/>
    <w:rsid w:val="001B2FB4"/>
    <w:rsid w:val="001E5F42"/>
    <w:rsid w:val="001E7FC7"/>
    <w:rsid w:val="00204A1C"/>
    <w:rsid w:val="0020764E"/>
    <w:rsid w:val="00216301"/>
    <w:rsid w:val="0022531F"/>
    <w:rsid w:val="00251544"/>
    <w:rsid w:val="00254BC0"/>
    <w:rsid w:val="0025797E"/>
    <w:rsid w:val="00270FD7"/>
    <w:rsid w:val="002728DF"/>
    <w:rsid w:val="002742BD"/>
    <w:rsid w:val="0028461E"/>
    <w:rsid w:val="00295159"/>
    <w:rsid w:val="002A09EB"/>
    <w:rsid w:val="002A23C6"/>
    <w:rsid w:val="002A6507"/>
    <w:rsid w:val="002B26D9"/>
    <w:rsid w:val="002B3057"/>
    <w:rsid w:val="002B57EE"/>
    <w:rsid w:val="002B7797"/>
    <w:rsid w:val="002C016F"/>
    <w:rsid w:val="002E0109"/>
    <w:rsid w:val="002E1539"/>
    <w:rsid w:val="002E3640"/>
    <w:rsid w:val="002E4F3D"/>
    <w:rsid w:val="002E688B"/>
    <w:rsid w:val="002F0C89"/>
    <w:rsid w:val="002F33E0"/>
    <w:rsid w:val="002F7571"/>
    <w:rsid w:val="003017B4"/>
    <w:rsid w:val="00320B41"/>
    <w:rsid w:val="003249C6"/>
    <w:rsid w:val="003313C1"/>
    <w:rsid w:val="00331C18"/>
    <w:rsid w:val="003329DE"/>
    <w:rsid w:val="003363B4"/>
    <w:rsid w:val="003424A1"/>
    <w:rsid w:val="00362D84"/>
    <w:rsid w:val="003704F6"/>
    <w:rsid w:val="00394117"/>
    <w:rsid w:val="00395D56"/>
    <w:rsid w:val="003A0398"/>
    <w:rsid w:val="003A0656"/>
    <w:rsid w:val="003A3244"/>
    <w:rsid w:val="003A42E7"/>
    <w:rsid w:val="003A53EE"/>
    <w:rsid w:val="003C02AD"/>
    <w:rsid w:val="003C4DAD"/>
    <w:rsid w:val="003D440A"/>
    <w:rsid w:val="003F099D"/>
    <w:rsid w:val="003F0FD6"/>
    <w:rsid w:val="003F5529"/>
    <w:rsid w:val="00412498"/>
    <w:rsid w:val="00414316"/>
    <w:rsid w:val="0042181C"/>
    <w:rsid w:val="004222FF"/>
    <w:rsid w:val="00431C49"/>
    <w:rsid w:val="0043310C"/>
    <w:rsid w:val="0043402B"/>
    <w:rsid w:val="00436314"/>
    <w:rsid w:val="0044055E"/>
    <w:rsid w:val="004508AA"/>
    <w:rsid w:val="0045517B"/>
    <w:rsid w:val="004633E2"/>
    <w:rsid w:val="00467ED8"/>
    <w:rsid w:val="004727D9"/>
    <w:rsid w:val="00473AC8"/>
    <w:rsid w:val="004816B2"/>
    <w:rsid w:val="00486EB4"/>
    <w:rsid w:val="00492218"/>
    <w:rsid w:val="004A5B84"/>
    <w:rsid w:val="004B06E4"/>
    <w:rsid w:val="004B096A"/>
    <w:rsid w:val="004B099C"/>
    <w:rsid w:val="004B3144"/>
    <w:rsid w:val="004C0F0F"/>
    <w:rsid w:val="004D3E13"/>
    <w:rsid w:val="004E1248"/>
    <w:rsid w:val="004E70BA"/>
    <w:rsid w:val="004F282F"/>
    <w:rsid w:val="004F7235"/>
    <w:rsid w:val="00503154"/>
    <w:rsid w:val="00512B2D"/>
    <w:rsid w:val="005163FA"/>
    <w:rsid w:val="005208A6"/>
    <w:rsid w:val="005263BB"/>
    <w:rsid w:val="0052643A"/>
    <w:rsid w:val="00540E29"/>
    <w:rsid w:val="005423D1"/>
    <w:rsid w:val="00544290"/>
    <w:rsid w:val="005512F9"/>
    <w:rsid w:val="00553F0F"/>
    <w:rsid w:val="00567FA0"/>
    <w:rsid w:val="005740B5"/>
    <w:rsid w:val="00581335"/>
    <w:rsid w:val="00584F89"/>
    <w:rsid w:val="00586608"/>
    <w:rsid w:val="0059293D"/>
    <w:rsid w:val="005C14E8"/>
    <w:rsid w:val="005C14F0"/>
    <w:rsid w:val="005C7C0B"/>
    <w:rsid w:val="005F631B"/>
    <w:rsid w:val="00610448"/>
    <w:rsid w:val="00610A71"/>
    <w:rsid w:val="00612C40"/>
    <w:rsid w:val="00615782"/>
    <w:rsid w:val="00620CE9"/>
    <w:rsid w:val="00621B92"/>
    <w:rsid w:val="006313E3"/>
    <w:rsid w:val="00645D82"/>
    <w:rsid w:val="00657382"/>
    <w:rsid w:val="006615DC"/>
    <w:rsid w:val="006666CA"/>
    <w:rsid w:val="00666E76"/>
    <w:rsid w:val="006801FE"/>
    <w:rsid w:val="00682C2E"/>
    <w:rsid w:val="00686881"/>
    <w:rsid w:val="00690118"/>
    <w:rsid w:val="00690211"/>
    <w:rsid w:val="00691C4A"/>
    <w:rsid w:val="00691EC8"/>
    <w:rsid w:val="006961BE"/>
    <w:rsid w:val="006A2F35"/>
    <w:rsid w:val="006B3840"/>
    <w:rsid w:val="006B4808"/>
    <w:rsid w:val="006B6134"/>
    <w:rsid w:val="006C1F52"/>
    <w:rsid w:val="006C3ABC"/>
    <w:rsid w:val="006C6EBD"/>
    <w:rsid w:val="006C6F88"/>
    <w:rsid w:val="006D4A7D"/>
    <w:rsid w:val="006E600C"/>
    <w:rsid w:val="006F333E"/>
    <w:rsid w:val="007035B9"/>
    <w:rsid w:val="007055B2"/>
    <w:rsid w:val="007126F4"/>
    <w:rsid w:val="00712C27"/>
    <w:rsid w:val="00716506"/>
    <w:rsid w:val="0071765A"/>
    <w:rsid w:val="00720B6E"/>
    <w:rsid w:val="00723D9E"/>
    <w:rsid w:val="007350C4"/>
    <w:rsid w:val="0074176C"/>
    <w:rsid w:val="00743FA4"/>
    <w:rsid w:val="00751138"/>
    <w:rsid w:val="0075696F"/>
    <w:rsid w:val="00756E05"/>
    <w:rsid w:val="00776727"/>
    <w:rsid w:val="00782497"/>
    <w:rsid w:val="007867DD"/>
    <w:rsid w:val="00786876"/>
    <w:rsid w:val="007A28D1"/>
    <w:rsid w:val="007A368A"/>
    <w:rsid w:val="007A4B14"/>
    <w:rsid w:val="007A62E1"/>
    <w:rsid w:val="007B1801"/>
    <w:rsid w:val="007C1F74"/>
    <w:rsid w:val="007C5160"/>
    <w:rsid w:val="007D209E"/>
    <w:rsid w:val="007D485D"/>
    <w:rsid w:val="007E1519"/>
    <w:rsid w:val="007E244F"/>
    <w:rsid w:val="007F211D"/>
    <w:rsid w:val="007F2B40"/>
    <w:rsid w:val="007F520A"/>
    <w:rsid w:val="007F609F"/>
    <w:rsid w:val="008001B2"/>
    <w:rsid w:val="008076D3"/>
    <w:rsid w:val="00814DFE"/>
    <w:rsid w:val="008262A0"/>
    <w:rsid w:val="00833074"/>
    <w:rsid w:val="008336D6"/>
    <w:rsid w:val="008420AA"/>
    <w:rsid w:val="008427AD"/>
    <w:rsid w:val="008430CD"/>
    <w:rsid w:val="00852BAC"/>
    <w:rsid w:val="00861C9E"/>
    <w:rsid w:val="0086272B"/>
    <w:rsid w:val="0087275E"/>
    <w:rsid w:val="008732EE"/>
    <w:rsid w:val="00896A6D"/>
    <w:rsid w:val="00897560"/>
    <w:rsid w:val="008B15F2"/>
    <w:rsid w:val="008B19E8"/>
    <w:rsid w:val="008B558A"/>
    <w:rsid w:val="008C2177"/>
    <w:rsid w:val="008E0959"/>
    <w:rsid w:val="008E3708"/>
    <w:rsid w:val="008E7831"/>
    <w:rsid w:val="008E7FA2"/>
    <w:rsid w:val="008F1536"/>
    <w:rsid w:val="008F5F23"/>
    <w:rsid w:val="00900FA9"/>
    <w:rsid w:val="0091031B"/>
    <w:rsid w:val="009104A9"/>
    <w:rsid w:val="00910933"/>
    <w:rsid w:val="00914909"/>
    <w:rsid w:val="00937771"/>
    <w:rsid w:val="009430FE"/>
    <w:rsid w:val="009577F6"/>
    <w:rsid w:val="009633DD"/>
    <w:rsid w:val="00965D27"/>
    <w:rsid w:val="00967FEA"/>
    <w:rsid w:val="00972222"/>
    <w:rsid w:val="00973562"/>
    <w:rsid w:val="00974389"/>
    <w:rsid w:val="00985CF3"/>
    <w:rsid w:val="00987A74"/>
    <w:rsid w:val="009914E6"/>
    <w:rsid w:val="009A1303"/>
    <w:rsid w:val="009C3672"/>
    <w:rsid w:val="009C3BF0"/>
    <w:rsid w:val="009D7574"/>
    <w:rsid w:val="009E09C7"/>
    <w:rsid w:val="009E2DC9"/>
    <w:rsid w:val="009F2226"/>
    <w:rsid w:val="00A013CA"/>
    <w:rsid w:val="00A15811"/>
    <w:rsid w:val="00A2123A"/>
    <w:rsid w:val="00A319EA"/>
    <w:rsid w:val="00A335EE"/>
    <w:rsid w:val="00A53071"/>
    <w:rsid w:val="00A62273"/>
    <w:rsid w:val="00A7357F"/>
    <w:rsid w:val="00A744DF"/>
    <w:rsid w:val="00A9283B"/>
    <w:rsid w:val="00A9464D"/>
    <w:rsid w:val="00AB35F4"/>
    <w:rsid w:val="00AB57B2"/>
    <w:rsid w:val="00AB7C54"/>
    <w:rsid w:val="00AC0744"/>
    <w:rsid w:val="00AD2C6B"/>
    <w:rsid w:val="00AE0001"/>
    <w:rsid w:val="00AE1FF8"/>
    <w:rsid w:val="00AF06F9"/>
    <w:rsid w:val="00AF4569"/>
    <w:rsid w:val="00AF6A14"/>
    <w:rsid w:val="00B07FEA"/>
    <w:rsid w:val="00B222C9"/>
    <w:rsid w:val="00B22913"/>
    <w:rsid w:val="00B2503F"/>
    <w:rsid w:val="00B2598B"/>
    <w:rsid w:val="00B32F13"/>
    <w:rsid w:val="00B36C13"/>
    <w:rsid w:val="00B40A37"/>
    <w:rsid w:val="00B52F7E"/>
    <w:rsid w:val="00B83AEA"/>
    <w:rsid w:val="00B8572F"/>
    <w:rsid w:val="00BA7BE0"/>
    <w:rsid w:val="00BB1A3B"/>
    <w:rsid w:val="00BB3A4E"/>
    <w:rsid w:val="00BB67A7"/>
    <w:rsid w:val="00BC04CD"/>
    <w:rsid w:val="00BD296E"/>
    <w:rsid w:val="00BD59B4"/>
    <w:rsid w:val="00BE310D"/>
    <w:rsid w:val="00BE5B4F"/>
    <w:rsid w:val="00BF2D64"/>
    <w:rsid w:val="00BF3ECD"/>
    <w:rsid w:val="00C10AEE"/>
    <w:rsid w:val="00C11838"/>
    <w:rsid w:val="00C120BA"/>
    <w:rsid w:val="00C22DDB"/>
    <w:rsid w:val="00C33453"/>
    <w:rsid w:val="00C339AC"/>
    <w:rsid w:val="00C37EDD"/>
    <w:rsid w:val="00C41357"/>
    <w:rsid w:val="00C51054"/>
    <w:rsid w:val="00C550EF"/>
    <w:rsid w:val="00C60A69"/>
    <w:rsid w:val="00C61291"/>
    <w:rsid w:val="00C617CB"/>
    <w:rsid w:val="00C7430B"/>
    <w:rsid w:val="00C75A6C"/>
    <w:rsid w:val="00C8265E"/>
    <w:rsid w:val="00C9302C"/>
    <w:rsid w:val="00C9697B"/>
    <w:rsid w:val="00C96C30"/>
    <w:rsid w:val="00C972CB"/>
    <w:rsid w:val="00CA40BE"/>
    <w:rsid w:val="00CD2F1C"/>
    <w:rsid w:val="00CD34B3"/>
    <w:rsid w:val="00CD3885"/>
    <w:rsid w:val="00CE5F50"/>
    <w:rsid w:val="00CE721D"/>
    <w:rsid w:val="00CE7D67"/>
    <w:rsid w:val="00CF040E"/>
    <w:rsid w:val="00D001F3"/>
    <w:rsid w:val="00D02240"/>
    <w:rsid w:val="00D030D3"/>
    <w:rsid w:val="00D057E9"/>
    <w:rsid w:val="00D06B70"/>
    <w:rsid w:val="00D104ED"/>
    <w:rsid w:val="00D22D1E"/>
    <w:rsid w:val="00D27B51"/>
    <w:rsid w:val="00D3245D"/>
    <w:rsid w:val="00D36B74"/>
    <w:rsid w:val="00D40E50"/>
    <w:rsid w:val="00D42726"/>
    <w:rsid w:val="00D45D9D"/>
    <w:rsid w:val="00D50649"/>
    <w:rsid w:val="00D57F61"/>
    <w:rsid w:val="00D63560"/>
    <w:rsid w:val="00D74920"/>
    <w:rsid w:val="00D82443"/>
    <w:rsid w:val="00D83AD4"/>
    <w:rsid w:val="00D95DE9"/>
    <w:rsid w:val="00DA7941"/>
    <w:rsid w:val="00DB16D7"/>
    <w:rsid w:val="00DC1108"/>
    <w:rsid w:val="00DC1F2C"/>
    <w:rsid w:val="00DC52F6"/>
    <w:rsid w:val="00DD12AB"/>
    <w:rsid w:val="00DE010D"/>
    <w:rsid w:val="00DE0A42"/>
    <w:rsid w:val="00DE0E3D"/>
    <w:rsid w:val="00DE25F3"/>
    <w:rsid w:val="00DF09C1"/>
    <w:rsid w:val="00DF3DAD"/>
    <w:rsid w:val="00E0124A"/>
    <w:rsid w:val="00E0202D"/>
    <w:rsid w:val="00E02BBB"/>
    <w:rsid w:val="00E02D8E"/>
    <w:rsid w:val="00E0511E"/>
    <w:rsid w:val="00E07EB5"/>
    <w:rsid w:val="00E267CE"/>
    <w:rsid w:val="00E428CE"/>
    <w:rsid w:val="00E5192A"/>
    <w:rsid w:val="00E62B2A"/>
    <w:rsid w:val="00E76BEF"/>
    <w:rsid w:val="00E83596"/>
    <w:rsid w:val="00E93D90"/>
    <w:rsid w:val="00EA3995"/>
    <w:rsid w:val="00EA6A6D"/>
    <w:rsid w:val="00EA76A5"/>
    <w:rsid w:val="00EB16CE"/>
    <w:rsid w:val="00EB2896"/>
    <w:rsid w:val="00EB5167"/>
    <w:rsid w:val="00EB54C2"/>
    <w:rsid w:val="00EB597C"/>
    <w:rsid w:val="00EB65D0"/>
    <w:rsid w:val="00EC35F1"/>
    <w:rsid w:val="00EC6110"/>
    <w:rsid w:val="00ED7CAC"/>
    <w:rsid w:val="00EE3FDA"/>
    <w:rsid w:val="00EE4DC9"/>
    <w:rsid w:val="00EF3704"/>
    <w:rsid w:val="00F27243"/>
    <w:rsid w:val="00F41089"/>
    <w:rsid w:val="00F47EAD"/>
    <w:rsid w:val="00F500CB"/>
    <w:rsid w:val="00F52FF4"/>
    <w:rsid w:val="00F55BD3"/>
    <w:rsid w:val="00F574B0"/>
    <w:rsid w:val="00F629B9"/>
    <w:rsid w:val="00F630C4"/>
    <w:rsid w:val="00F7315E"/>
    <w:rsid w:val="00F74C1E"/>
    <w:rsid w:val="00F77A74"/>
    <w:rsid w:val="00F83C04"/>
    <w:rsid w:val="00F84471"/>
    <w:rsid w:val="00F94B3B"/>
    <w:rsid w:val="00F966D5"/>
    <w:rsid w:val="00FA7125"/>
    <w:rsid w:val="00FC4246"/>
    <w:rsid w:val="00FC775B"/>
    <w:rsid w:val="00FD3C23"/>
    <w:rsid w:val="00FD73FC"/>
    <w:rsid w:val="00FE0312"/>
    <w:rsid w:val="00FE466D"/>
    <w:rsid w:val="00FE6BB5"/>
    <w:rsid w:val="00FE7033"/>
    <w:rsid w:val="00FE7F32"/>
    <w:rsid w:val="00FF3486"/>
    <w:rsid w:val="00FF61B4"/>
    <w:rsid w:val="00FF67FB"/>
    <w:rsid w:val="00FF7A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0E0E"/>
  <w15:chartTrackingRefBased/>
  <w15:docId w15:val="{EE931200-5782-4B7E-A52A-1C6A8C06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B5"/>
    <w:pPr>
      <w:ind w:left="720"/>
      <w:contextualSpacing/>
    </w:pPr>
  </w:style>
  <w:style w:type="character" w:styleId="Hyperlink">
    <w:name w:val="Hyperlink"/>
    <w:basedOn w:val="DefaultParagraphFont"/>
    <w:uiPriority w:val="99"/>
    <w:unhideWhenUsed/>
    <w:rsid w:val="00F500CB"/>
    <w:rPr>
      <w:color w:val="0563C1" w:themeColor="hyperlink"/>
      <w:u w:val="single"/>
    </w:rPr>
  </w:style>
  <w:style w:type="character" w:styleId="UnresolvedMention">
    <w:name w:val="Unresolved Mention"/>
    <w:basedOn w:val="DefaultParagraphFont"/>
    <w:uiPriority w:val="99"/>
    <w:semiHidden/>
    <w:unhideWhenUsed/>
    <w:rsid w:val="00F500CB"/>
    <w:rPr>
      <w:color w:val="605E5C"/>
      <w:shd w:val="clear" w:color="auto" w:fill="E1DFDD"/>
    </w:rPr>
  </w:style>
  <w:style w:type="table" w:styleId="TableGrid">
    <w:name w:val="Table Grid"/>
    <w:basedOn w:val="TableNormal"/>
    <w:uiPriority w:val="39"/>
    <w:rsid w:val="006801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10448"/>
    <w:pPr>
      <w:spacing w:after="0"/>
    </w:pPr>
    <w:rPr>
      <w:sz w:val="20"/>
      <w:szCs w:val="20"/>
    </w:rPr>
  </w:style>
  <w:style w:type="character" w:customStyle="1" w:styleId="FootnoteTextChar">
    <w:name w:val="Footnote Text Char"/>
    <w:basedOn w:val="DefaultParagraphFont"/>
    <w:link w:val="FootnoteText"/>
    <w:uiPriority w:val="99"/>
    <w:semiHidden/>
    <w:rsid w:val="00610448"/>
    <w:rPr>
      <w:sz w:val="20"/>
      <w:szCs w:val="20"/>
    </w:rPr>
  </w:style>
  <w:style w:type="character" w:styleId="FootnoteReference">
    <w:name w:val="footnote reference"/>
    <w:basedOn w:val="DefaultParagraphFont"/>
    <w:uiPriority w:val="99"/>
    <w:semiHidden/>
    <w:unhideWhenUsed/>
    <w:rsid w:val="00610448"/>
    <w:rPr>
      <w:vertAlign w:val="superscript"/>
    </w:rPr>
  </w:style>
  <w:style w:type="paragraph" w:styleId="BalloonText">
    <w:name w:val="Balloon Text"/>
    <w:basedOn w:val="Normal"/>
    <w:link w:val="BalloonTextChar"/>
    <w:uiPriority w:val="99"/>
    <w:semiHidden/>
    <w:unhideWhenUsed/>
    <w:rsid w:val="004A5B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PC.Birmingham@Just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C.Birmingham@Just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PC.Birmingham@Just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how-to-join-a-cloud-video-platform-cvp-hearing/how-to-join-cloud-video-platform-cvp-for-a-video-hearing" TargetMode="External"/><Relationship Id="rId5" Type="http://schemas.openxmlformats.org/officeDocument/2006/relationships/numbering" Target="numbering.xml"/><Relationship Id="rId15" Type="http://schemas.openxmlformats.org/officeDocument/2006/relationships/hyperlink" Target="https://www.merriam-webster.com/dictionary/hyperli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PC.Birmingham@Justice.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01.safelinks.protection.outlook.com/?url=https%3A%2F%2Fsupport.office.com%2Fen-gb%2Farticle%2Fjoin-a-skype-for-business-meeting-with-skype-meetings-app-skype-for-business-web-app-4828ad18-ed21-422a-a870-94d676d4b72a&amp;data=02%7C01%7CHHJ.David.Cooke%40ejudiciary.net%7C22384ec0f0bf40a44c8608d7d573b365%7C723e45572f1743ed9e71f1beb253e546%7C0%7C0%7C637212565322243574&amp;sdata=HcC777xIqhdt3qHjHh3DbHREb88p6nC%2BDe46ohLJMkA%3D&amp;reserved=0" TargetMode="External"/><Relationship Id="rId1" Type="http://schemas.openxmlformats.org/officeDocument/2006/relationships/hyperlink" Target="https://eur01.safelinks.protection.outlook.com/?url=https%3A%2F%2Fsupport.office.com%2Fen-gb%2Farticle%2Fjoin-a-skype-for-business-meeting-from-your-mobile-device-without-a-skype-for-business-account-90e59db5-2801-4284-80a7-0e87ec479273&amp;data=02%7C01%7CHHJ.David.Cooke%40ejudiciary.net%7C22384ec0f0bf40a44c8608d7d573b365%7C723e45572f1743ed9e71f1beb253e546%7C0%7C0%7C637212565322243574&amp;sdata=5HQTmEz0kakHIIg48rn31iR9UbPJbifrdO0f0lAgLo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B21107D55D4F418915AE89F8B0C09B" ma:contentTypeVersion="9" ma:contentTypeDescription="Create a new document." ma:contentTypeScope="" ma:versionID="63bfcc817a0d7c870edb3335feb71ec3">
  <xsd:schema xmlns:xsd="http://www.w3.org/2001/XMLSchema" xmlns:xs="http://www.w3.org/2001/XMLSchema" xmlns:p="http://schemas.microsoft.com/office/2006/metadata/properties" xmlns:ns3="22b9fc00-1a44-40cf-ac95-f4380d2e67ae" xmlns:ns4="280bcbf3-fdfc-4eb0-b96b-cab686b14d5d" targetNamespace="http://schemas.microsoft.com/office/2006/metadata/properties" ma:root="true" ma:fieldsID="dcb2d0579bd86b63ca3eb40fe1aef9c1" ns3:_="" ns4:_="">
    <xsd:import namespace="22b9fc00-1a44-40cf-ac95-f4380d2e67ae"/>
    <xsd:import namespace="280bcbf3-fdfc-4eb0-b96b-cab686b14d5d"/>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9fc00-1a44-40cf-ac95-f4380d2e67a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0bcbf3-fdfc-4eb0-b96b-cab686b14d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EDFCE-3D61-4F30-AE85-FC7180E84F41}">
  <ds:schemaRefs>
    <ds:schemaRef ds:uri="http://schemas.openxmlformats.org/officeDocument/2006/bibliography"/>
  </ds:schemaRefs>
</ds:datastoreItem>
</file>

<file path=customXml/itemProps2.xml><?xml version="1.0" encoding="utf-8"?>
<ds:datastoreItem xmlns:ds="http://schemas.openxmlformats.org/officeDocument/2006/customXml" ds:itemID="{3FC767E3-9B36-49AF-AD2D-C889EAC1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9fc00-1a44-40cf-ac95-f4380d2e67ae"/>
    <ds:schemaRef ds:uri="280bcbf3-fdfc-4eb0-b96b-cab686b14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EB69F-26EC-43FF-84B4-6A8D7F56481D}">
  <ds:schemaRefs>
    <ds:schemaRef ds:uri="http://schemas.microsoft.com/sharepoint/v3/contenttype/forms"/>
  </ds:schemaRefs>
</ds:datastoreItem>
</file>

<file path=customXml/itemProps4.xml><?xml version="1.0" encoding="utf-8"?>
<ds:datastoreItem xmlns:ds="http://schemas.openxmlformats.org/officeDocument/2006/customXml" ds:itemID="{3BE28CF3-7964-438E-AF6A-C07D5A73CE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HHJ David</dc:creator>
  <cp:keywords/>
  <dc:description/>
  <cp:lastModifiedBy>Cooke, HHJ David</cp:lastModifiedBy>
  <cp:revision>61</cp:revision>
  <dcterms:created xsi:type="dcterms:W3CDTF">2020-08-14T11:27:00Z</dcterms:created>
  <dcterms:modified xsi:type="dcterms:W3CDTF">2020-12-02T14:19:00Z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0x01010039B21107D55D4F418915AE89F8B0C09B</vt:lpwstr>
  </property>
</Properties>
</file>