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E8B74" w14:textId="0AD59EA2" w:rsidR="00975357" w:rsidRDefault="00975357" w:rsidP="00975357">
      <w:pPr>
        <w:autoSpaceDE w:val="0"/>
        <w:autoSpaceDN w:val="0"/>
        <w:jc w:val="both"/>
        <w:rPr>
          <w:rFonts w:ascii="Arial" w:hAnsi="Arial" w:cs="Arial"/>
          <w:b/>
          <w:bCs/>
        </w:rPr>
      </w:pPr>
      <w:r>
        <w:rPr>
          <w:rFonts w:ascii="Arial" w:hAnsi="Arial" w:cs="Arial"/>
          <w:b/>
          <w:bCs/>
        </w:rPr>
        <w:t xml:space="preserve">The Public Law Working Group (PLWG) is consulting on proposals to law, </w:t>
      </w:r>
      <w:proofErr w:type="gramStart"/>
      <w:r>
        <w:rPr>
          <w:rFonts w:ascii="Arial" w:hAnsi="Arial" w:cs="Arial"/>
          <w:b/>
          <w:bCs/>
        </w:rPr>
        <w:t>policy</w:t>
      </w:r>
      <w:proofErr w:type="gramEnd"/>
      <w:r>
        <w:rPr>
          <w:rFonts w:ascii="Arial" w:hAnsi="Arial" w:cs="Arial"/>
          <w:b/>
          <w:bCs/>
        </w:rPr>
        <w:t xml:space="preserve"> and practice in relation to supervision orders made at the conclusion of care proceedings to support the child </w:t>
      </w:r>
      <w:r w:rsidR="005C1813">
        <w:rPr>
          <w:rFonts w:ascii="Arial" w:hAnsi="Arial" w:cs="Arial"/>
          <w:b/>
          <w:bCs/>
        </w:rPr>
        <w:t xml:space="preserve">to </w:t>
      </w:r>
      <w:r>
        <w:rPr>
          <w:rFonts w:ascii="Arial" w:hAnsi="Arial" w:cs="Arial"/>
          <w:b/>
          <w:bCs/>
        </w:rPr>
        <w:t xml:space="preserve">live with a parent(s). </w:t>
      </w:r>
    </w:p>
    <w:p w14:paraId="61F89570" w14:textId="77777777" w:rsidR="00975357" w:rsidRDefault="00975357" w:rsidP="00975357">
      <w:pPr>
        <w:autoSpaceDE w:val="0"/>
        <w:autoSpaceDN w:val="0"/>
        <w:jc w:val="both"/>
        <w:rPr>
          <w:rFonts w:ascii="Arial" w:hAnsi="Arial" w:cs="Arial"/>
        </w:rPr>
      </w:pPr>
    </w:p>
    <w:p w14:paraId="1889E1A7" w14:textId="77777777" w:rsidR="00975357" w:rsidRDefault="00975357" w:rsidP="00975357">
      <w:pPr>
        <w:autoSpaceDE w:val="0"/>
        <w:autoSpaceDN w:val="0"/>
        <w:jc w:val="both"/>
        <w:rPr>
          <w:rFonts w:ascii="Arial" w:hAnsi="Arial" w:cs="Arial"/>
        </w:rPr>
      </w:pPr>
      <w:r>
        <w:rPr>
          <w:rFonts w:ascii="Arial" w:hAnsi="Arial" w:cs="Arial"/>
        </w:rPr>
        <w:t>The PLWG invites consultation responses from those who have a stake in, or are affected by, the children’s social care and family justice systems. This includes, but is not limited to, families and young people, legal and social care practitioners and managers, directors of children’s services/social services, practitioners and services working alongside/closely with children’s social care, the judiciary, voluntary sector organisations and practitioner bodies/associations.</w:t>
      </w:r>
    </w:p>
    <w:p w14:paraId="7CA26FB9" w14:textId="77777777" w:rsidR="00975357" w:rsidRDefault="00975357" w:rsidP="00975357">
      <w:pPr>
        <w:autoSpaceDE w:val="0"/>
        <w:autoSpaceDN w:val="0"/>
        <w:jc w:val="both"/>
        <w:rPr>
          <w:rFonts w:ascii="Arial" w:hAnsi="Arial" w:cs="Arial"/>
        </w:rPr>
      </w:pPr>
    </w:p>
    <w:p w14:paraId="7EA504EA" w14:textId="77777777" w:rsidR="00975357" w:rsidRDefault="00975357" w:rsidP="00975357">
      <w:pPr>
        <w:autoSpaceDE w:val="0"/>
        <w:autoSpaceDN w:val="0"/>
        <w:jc w:val="both"/>
        <w:rPr>
          <w:rFonts w:ascii="Arial" w:hAnsi="Arial" w:cs="Arial"/>
        </w:rPr>
      </w:pPr>
      <w:r>
        <w:rPr>
          <w:rFonts w:ascii="Arial" w:hAnsi="Arial" w:cs="Arial"/>
        </w:rPr>
        <w:t>The attached PLWG interim report attached sets out:</w:t>
      </w:r>
    </w:p>
    <w:p w14:paraId="1BBA76D4" w14:textId="77777777" w:rsidR="00975357" w:rsidRDefault="00975357" w:rsidP="00975357">
      <w:pPr>
        <w:autoSpaceDE w:val="0"/>
        <w:autoSpaceDN w:val="0"/>
        <w:jc w:val="both"/>
        <w:rPr>
          <w:rFonts w:ascii="Arial" w:hAnsi="Arial" w:cs="Arial"/>
        </w:rPr>
      </w:pPr>
    </w:p>
    <w:p w14:paraId="5B6D5331" w14:textId="7754DC86" w:rsidR="00975357" w:rsidRDefault="00975357" w:rsidP="00975357">
      <w:pPr>
        <w:pStyle w:val="ListParagraph"/>
        <w:numPr>
          <w:ilvl w:val="0"/>
          <w:numId w:val="1"/>
        </w:numPr>
        <w:autoSpaceDE w:val="0"/>
        <w:autoSpaceDN w:val="0"/>
        <w:jc w:val="both"/>
        <w:rPr>
          <w:rFonts w:ascii="Arial" w:eastAsia="Times New Roman" w:hAnsi="Arial" w:cs="Arial"/>
        </w:rPr>
      </w:pPr>
      <w:r>
        <w:rPr>
          <w:rFonts w:ascii="Arial" w:eastAsia="Times New Roman" w:hAnsi="Arial" w:cs="Arial"/>
        </w:rPr>
        <w:t xml:space="preserve">The research and rationale that has informed the </w:t>
      </w:r>
      <w:r w:rsidR="005C1813">
        <w:rPr>
          <w:rFonts w:ascii="Arial" w:eastAsia="Times New Roman" w:hAnsi="Arial" w:cs="Arial"/>
        </w:rPr>
        <w:t>working group’s</w:t>
      </w:r>
      <w:r>
        <w:rPr>
          <w:rFonts w:ascii="Arial" w:eastAsia="Times New Roman" w:hAnsi="Arial" w:cs="Arial"/>
        </w:rPr>
        <w:t xml:space="preserve"> thinking</w:t>
      </w:r>
      <w:r w:rsidR="005C1813">
        <w:rPr>
          <w:rFonts w:ascii="Arial" w:eastAsia="Times New Roman" w:hAnsi="Arial" w:cs="Arial"/>
        </w:rPr>
        <w:t>.</w:t>
      </w:r>
    </w:p>
    <w:p w14:paraId="0C1D7724" w14:textId="0055AF87" w:rsidR="00975357" w:rsidRDefault="00975357" w:rsidP="00975357">
      <w:pPr>
        <w:pStyle w:val="ListParagraph"/>
        <w:numPr>
          <w:ilvl w:val="0"/>
          <w:numId w:val="1"/>
        </w:numPr>
        <w:autoSpaceDE w:val="0"/>
        <w:autoSpaceDN w:val="0"/>
        <w:jc w:val="both"/>
        <w:rPr>
          <w:rFonts w:ascii="Arial" w:eastAsia="Times New Roman" w:hAnsi="Arial" w:cs="Arial"/>
        </w:rPr>
      </w:pPr>
      <w:r>
        <w:rPr>
          <w:rFonts w:ascii="Arial" w:eastAsia="Times New Roman" w:hAnsi="Arial" w:cs="Arial"/>
        </w:rPr>
        <w:t>Recommendations for short and long</w:t>
      </w:r>
      <w:r w:rsidR="005C1813">
        <w:rPr>
          <w:rFonts w:ascii="Arial" w:eastAsia="Times New Roman" w:hAnsi="Arial" w:cs="Arial"/>
        </w:rPr>
        <w:t>-</w:t>
      </w:r>
      <w:r>
        <w:rPr>
          <w:rFonts w:ascii="Arial" w:eastAsia="Times New Roman" w:hAnsi="Arial" w:cs="Arial"/>
        </w:rPr>
        <w:t>term change</w:t>
      </w:r>
      <w:r w:rsidR="005C1813">
        <w:rPr>
          <w:rFonts w:ascii="Arial" w:eastAsia="Times New Roman" w:hAnsi="Arial" w:cs="Arial"/>
        </w:rPr>
        <w:t>.</w:t>
      </w:r>
    </w:p>
    <w:p w14:paraId="6170489D" w14:textId="70D33241" w:rsidR="00975357" w:rsidRDefault="00975357" w:rsidP="00975357">
      <w:pPr>
        <w:pStyle w:val="ListParagraph"/>
        <w:numPr>
          <w:ilvl w:val="0"/>
          <w:numId w:val="1"/>
        </w:numPr>
        <w:autoSpaceDE w:val="0"/>
        <w:autoSpaceDN w:val="0"/>
        <w:jc w:val="both"/>
        <w:rPr>
          <w:rFonts w:ascii="Arial" w:eastAsia="Times New Roman" w:hAnsi="Arial" w:cs="Arial"/>
        </w:rPr>
      </w:pPr>
      <w:r>
        <w:rPr>
          <w:rFonts w:ascii="Arial" w:eastAsia="Times New Roman" w:hAnsi="Arial" w:cs="Arial"/>
        </w:rPr>
        <w:t>At Annex C (page7</w:t>
      </w:r>
      <w:r w:rsidR="005C1813">
        <w:rPr>
          <w:rFonts w:ascii="Arial" w:eastAsia="Times New Roman" w:hAnsi="Arial" w:cs="Arial"/>
        </w:rPr>
        <w:t>3</w:t>
      </w:r>
      <w:r>
        <w:rPr>
          <w:rFonts w:ascii="Arial" w:eastAsia="Times New Roman" w:hAnsi="Arial" w:cs="Arial"/>
        </w:rPr>
        <w:t xml:space="preserve"> onwards), draft Best Practice Guidance which aims to provide clear messages and sample tools to support best practice where children remain with, or return home to, their parents at the conclusion of care proceedings. It is specifically intended to support best practice where the court may consider making a supervision order.</w:t>
      </w:r>
    </w:p>
    <w:p w14:paraId="2B9E9324" w14:textId="77777777" w:rsidR="00975357" w:rsidRDefault="00975357" w:rsidP="00975357">
      <w:pPr>
        <w:autoSpaceDE w:val="0"/>
        <w:autoSpaceDN w:val="0"/>
        <w:jc w:val="both"/>
        <w:rPr>
          <w:rFonts w:ascii="Arial" w:hAnsi="Arial" w:cs="Arial"/>
        </w:rPr>
      </w:pPr>
    </w:p>
    <w:p w14:paraId="7D7F9953" w14:textId="77777777" w:rsidR="00975357" w:rsidRDefault="00975357" w:rsidP="00975357">
      <w:pPr>
        <w:autoSpaceDE w:val="0"/>
        <w:autoSpaceDN w:val="0"/>
        <w:jc w:val="both"/>
        <w:rPr>
          <w:rFonts w:ascii="Arial" w:hAnsi="Arial" w:cs="Arial"/>
        </w:rPr>
      </w:pPr>
      <w:r>
        <w:rPr>
          <w:rFonts w:ascii="Arial" w:hAnsi="Arial" w:cs="Arial"/>
        </w:rPr>
        <w:t>The PLWG specifically welcomes responses as to the following:</w:t>
      </w:r>
    </w:p>
    <w:p w14:paraId="232A0FC6" w14:textId="77777777" w:rsidR="00975357" w:rsidRDefault="00975357" w:rsidP="00975357">
      <w:pPr>
        <w:autoSpaceDE w:val="0"/>
        <w:autoSpaceDN w:val="0"/>
        <w:jc w:val="both"/>
        <w:rPr>
          <w:rFonts w:ascii="Arial" w:hAnsi="Arial" w:cs="Arial"/>
        </w:rPr>
      </w:pPr>
    </w:p>
    <w:tbl>
      <w:tblPr>
        <w:tblW w:w="0" w:type="auto"/>
        <w:tblCellMar>
          <w:left w:w="0" w:type="dxa"/>
          <w:right w:w="0" w:type="dxa"/>
        </w:tblCellMar>
        <w:tblLook w:val="04A0" w:firstRow="1" w:lastRow="0" w:firstColumn="1" w:lastColumn="0" w:noHBand="0" w:noVBand="1"/>
      </w:tblPr>
      <w:tblGrid>
        <w:gridCol w:w="9006"/>
      </w:tblGrid>
      <w:tr w:rsidR="00975357" w14:paraId="7DC24365" w14:textId="77777777" w:rsidTr="0097535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ABD3E8" w14:textId="77777777" w:rsidR="00975357" w:rsidRDefault="00975357">
            <w:pPr>
              <w:pStyle w:val="ListParagraph"/>
              <w:autoSpaceDE w:val="0"/>
              <w:autoSpaceDN w:val="0"/>
              <w:jc w:val="both"/>
              <w:rPr>
                <w:rFonts w:ascii="Arial" w:hAnsi="Arial" w:cs="Arial"/>
              </w:rPr>
            </w:pPr>
          </w:p>
          <w:p w14:paraId="1DED2EDE" w14:textId="77777777" w:rsidR="00975357" w:rsidRDefault="00975357">
            <w:pPr>
              <w:autoSpaceDE w:val="0"/>
              <w:autoSpaceDN w:val="0"/>
              <w:jc w:val="both"/>
              <w:rPr>
                <w:rFonts w:ascii="Arial" w:hAnsi="Arial" w:cs="Arial"/>
                <w:b/>
                <w:bCs/>
              </w:rPr>
            </w:pPr>
            <w:r>
              <w:rPr>
                <w:rFonts w:ascii="Arial" w:hAnsi="Arial" w:cs="Arial"/>
                <w:b/>
                <w:bCs/>
              </w:rPr>
              <w:t>Consultation questions:</w:t>
            </w:r>
          </w:p>
          <w:p w14:paraId="2F2BCE58" w14:textId="77777777" w:rsidR="00975357" w:rsidRDefault="00975357">
            <w:pPr>
              <w:autoSpaceDE w:val="0"/>
              <w:autoSpaceDN w:val="0"/>
              <w:jc w:val="both"/>
              <w:rPr>
                <w:rFonts w:ascii="Arial" w:hAnsi="Arial" w:cs="Arial"/>
              </w:rPr>
            </w:pPr>
          </w:p>
          <w:p w14:paraId="3E97DBB0" w14:textId="77777777" w:rsidR="00975357" w:rsidRDefault="00975357" w:rsidP="005C1813">
            <w:pPr>
              <w:pStyle w:val="ListParagraph"/>
              <w:numPr>
                <w:ilvl w:val="0"/>
                <w:numId w:val="2"/>
              </w:numPr>
              <w:autoSpaceDE w:val="0"/>
              <w:autoSpaceDN w:val="0"/>
              <w:jc w:val="both"/>
              <w:rPr>
                <w:rFonts w:ascii="Arial" w:eastAsia="Times New Roman" w:hAnsi="Arial" w:cs="Arial"/>
              </w:rPr>
            </w:pPr>
            <w:r>
              <w:rPr>
                <w:rFonts w:ascii="Arial" w:eastAsia="Times New Roman" w:hAnsi="Arial" w:cs="Arial"/>
              </w:rPr>
              <w:t>Should supervision orders be retained as a public law order?</w:t>
            </w:r>
          </w:p>
          <w:p w14:paraId="62D3C0FB" w14:textId="77777777" w:rsidR="00975357" w:rsidRDefault="00975357">
            <w:pPr>
              <w:pStyle w:val="ListParagraph"/>
              <w:autoSpaceDE w:val="0"/>
              <w:autoSpaceDN w:val="0"/>
              <w:jc w:val="both"/>
              <w:rPr>
                <w:rFonts w:ascii="Arial" w:hAnsi="Arial" w:cs="Arial"/>
              </w:rPr>
            </w:pPr>
          </w:p>
          <w:p w14:paraId="709F5969" w14:textId="77777777" w:rsidR="00975357" w:rsidRDefault="00975357" w:rsidP="005C1813">
            <w:pPr>
              <w:pStyle w:val="ListParagraph"/>
              <w:numPr>
                <w:ilvl w:val="0"/>
                <w:numId w:val="2"/>
              </w:numPr>
              <w:autoSpaceDE w:val="0"/>
              <w:autoSpaceDN w:val="0"/>
              <w:jc w:val="both"/>
              <w:rPr>
                <w:rFonts w:ascii="Arial" w:eastAsia="Times New Roman" w:hAnsi="Arial" w:cs="Arial"/>
              </w:rPr>
            </w:pPr>
            <w:r>
              <w:rPr>
                <w:rFonts w:ascii="Arial" w:eastAsia="Times New Roman" w:hAnsi="Arial" w:cs="Arial"/>
              </w:rPr>
              <w:t>Should supervision orders be reformed to be a more robust and effective public law order?</w:t>
            </w:r>
          </w:p>
          <w:p w14:paraId="2C36177E" w14:textId="77777777" w:rsidR="00975357" w:rsidRDefault="00975357">
            <w:pPr>
              <w:autoSpaceDE w:val="0"/>
              <w:autoSpaceDN w:val="0"/>
              <w:jc w:val="both"/>
              <w:rPr>
                <w:rFonts w:ascii="Arial" w:hAnsi="Arial" w:cs="Arial"/>
              </w:rPr>
            </w:pPr>
          </w:p>
          <w:p w14:paraId="32300A7A" w14:textId="5D2B24E3" w:rsidR="00975357" w:rsidRDefault="00975357" w:rsidP="005C1813">
            <w:pPr>
              <w:pStyle w:val="ListParagraph"/>
              <w:numPr>
                <w:ilvl w:val="0"/>
                <w:numId w:val="2"/>
              </w:numPr>
              <w:autoSpaceDE w:val="0"/>
              <w:autoSpaceDN w:val="0"/>
              <w:jc w:val="both"/>
              <w:rPr>
                <w:rFonts w:ascii="Arial" w:eastAsia="Times New Roman" w:hAnsi="Arial" w:cs="Arial"/>
              </w:rPr>
            </w:pPr>
            <w:r>
              <w:rPr>
                <w:rFonts w:ascii="Arial" w:eastAsia="Times New Roman" w:hAnsi="Arial" w:cs="Arial"/>
              </w:rPr>
              <w:t>Are the recommendations for immediate reform in this interim report sufficient</w:t>
            </w:r>
            <w:r>
              <w:rPr>
                <w:rFonts w:ascii="Arial" w:eastAsia="Times New Roman" w:hAnsi="Arial" w:cs="Arial"/>
                <w:b/>
                <w:bCs/>
              </w:rPr>
              <w:t xml:space="preserve"> </w:t>
            </w:r>
            <w:r w:rsidRPr="00975357">
              <w:rPr>
                <w:rFonts w:ascii="Arial" w:eastAsia="Times New Roman" w:hAnsi="Arial" w:cs="Arial"/>
              </w:rPr>
              <w:t xml:space="preserve">to </w:t>
            </w:r>
            <w:r>
              <w:rPr>
                <w:rFonts w:ascii="Arial" w:eastAsia="Times New Roman" w:hAnsi="Arial" w:cs="Arial"/>
              </w:rPr>
              <w:t>achieve the goal of making supervision orders more robust and effective?</w:t>
            </w:r>
          </w:p>
          <w:p w14:paraId="5B3302DD" w14:textId="77777777" w:rsidR="00975357" w:rsidRPr="00975357" w:rsidRDefault="00975357" w:rsidP="00975357">
            <w:pPr>
              <w:autoSpaceDE w:val="0"/>
              <w:autoSpaceDN w:val="0"/>
              <w:jc w:val="both"/>
              <w:rPr>
                <w:rFonts w:ascii="Arial" w:eastAsia="Times New Roman" w:hAnsi="Arial" w:cs="Arial"/>
              </w:rPr>
            </w:pPr>
          </w:p>
          <w:p w14:paraId="780EABA8" w14:textId="77777777" w:rsidR="00975357" w:rsidRDefault="00975357" w:rsidP="005C1813">
            <w:pPr>
              <w:pStyle w:val="ListParagraph"/>
              <w:numPr>
                <w:ilvl w:val="0"/>
                <w:numId w:val="2"/>
              </w:numPr>
              <w:autoSpaceDE w:val="0"/>
              <w:autoSpaceDN w:val="0"/>
              <w:jc w:val="both"/>
              <w:rPr>
                <w:rFonts w:ascii="Arial" w:eastAsia="Times New Roman" w:hAnsi="Arial" w:cs="Arial"/>
              </w:rPr>
            </w:pPr>
            <w:r>
              <w:rPr>
                <w:rFonts w:ascii="Arial" w:eastAsia="Times New Roman" w:hAnsi="Arial" w:cs="Arial"/>
              </w:rPr>
              <w:t>If not, what other reforms or measures should we recommend?</w:t>
            </w:r>
          </w:p>
          <w:p w14:paraId="65DC34DB" w14:textId="77777777" w:rsidR="00975357" w:rsidRDefault="00975357">
            <w:pPr>
              <w:autoSpaceDE w:val="0"/>
              <w:autoSpaceDN w:val="0"/>
              <w:ind w:left="360"/>
              <w:jc w:val="both"/>
              <w:rPr>
                <w:rFonts w:ascii="Arial" w:hAnsi="Arial" w:cs="Arial"/>
              </w:rPr>
            </w:pPr>
          </w:p>
          <w:p w14:paraId="142B2AC7" w14:textId="77777777" w:rsidR="005C1813" w:rsidRDefault="00975357" w:rsidP="005C1813">
            <w:pPr>
              <w:pStyle w:val="ListParagraph"/>
              <w:numPr>
                <w:ilvl w:val="0"/>
                <w:numId w:val="2"/>
              </w:numPr>
              <w:autoSpaceDE w:val="0"/>
              <w:autoSpaceDN w:val="0"/>
              <w:jc w:val="both"/>
              <w:rPr>
                <w:rFonts w:ascii="Arial" w:eastAsia="Times New Roman" w:hAnsi="Arial" w:cs="Arial"/>
              </w:rPr>
            </w:pPr>
            <w:r>
              <w:rPr>
                <w:rFonts w:ascii="Arial" w:eastAsia="Times New Roman" w:hAnsi="Arial" w:cs="Arial"/>
              </w:rPr>
              <w:t>Are the reforms and measures set out in the Best Practice Guidance (</w:t>
            </w:r>
            <w:r>
              <w:rPr>
                <w:rFonts w:ascii="Arial" w:eastAsia="Times New Roman" w:hAnsi="Arial" w:cs="Arial"/>
                <w:b/>
                <w:bCs/>
              </w:rPr>
              <w:t>at Annex C, page 7</w:t>
            </w:r>
            <w:r w:rsidR="005C1813">
              <w:rPr>
                <w:rFonts w:ascii="Arial" w:eastAsia="Times New Roman" w:hAnsi="Arial" w:cs="Arial"/>
                <w:b/>
                <w:bCs/>
              </w:rPr>
              <w:t xml:space="preserve">3 </w:t>
            </w:r>
            <w:r>
              <w:rPr>
                <w:rFonts w:ascii="Arial" w:eastAsia="Times New Roman" w:hAnsi="Arial" w:cs="Arial"/>
                <w:b/>
                <w:bCs/>
              </w:rPr>
              <w:t>of the report</w:t>
            </w:r>
            <w:r>
              <w:rPr>
                <w:rFonts w:ascii="Arial" w:eastAsia="Times New Roman" w:hAnsi="Arial" w:cs="Arial"/>
              </w:rPr>
              <w:t xml:space="preserve">) proportionate and practical? Are they, or any of them, overly burdensome to implement for parents/carers, the Family Court, children’s </w:t>
            </w:r>
            <w:proofErr w:type="gramStart"/>
            <w:r>
              <w:rPr>
                <w:rFonts w:ascii="Arial" w:eastAsia="Times New Roman" w:hAnsi="Arial" w:cs="Arial"/>
              </w:rPr>
              <w:t>services</w:t>
            </w:r>
            <w:proofErr w:type="gramEnd"/>
            <w:r>
              <w:rPr>
                <w:rFonts w:ascii="Arial" w:eastAsia="Times New Roman" w:hAnsi="Arial" w:cs="Arial"/>
              </w:rPr>
              <w:t xml:space="preserve"> or others involved in the child protection and family justice systems? If so, how could they be improved?</w:t>
            </w:r>
          </w:p>
          <w:p w14:paraId="5714D70E" w14:textId="77777777" w:rsidR="005C1813" w:rsidRPr="005C1813" w:rsidRDefault="005C1813" w:rsidP="005C1813">
            <w:pPr>
              <w:pStyle w:val="ListParagraph"/>
              <w:rPr>
                <w:rFonts w:ascii="Avenir Book" w:hAnsi="Avenir Book"/>
                <w:sz w:val="24"/>
                <w:szCs w:val="24"/>
              </w:rPr>
            </w:pPr>
          </w:p>
          <w:p w14:paraId="4150D44C" w14:textId="77777777" w:rsidR="005C1813" w:rsidRPr="005C1813" w:rsidRDefault="005C1813" w:rsidP="005C1813">
            <w:pPr>
              <w:pStyle w:val="ListParagraph"/>
              <w:numPr>
                <w:ilvl w:val="0"/>
                <w:numId w:val="2"/>
              </w:numPr>
              <w:autoSpaceDE w:val="0"/>
              <w:autoSpaceDN w:val="0"/>
              <w:jc w:val="both"/>
              <w:rPr>
                <w:rFonts w:ascii="Arial" w:eastAsia="Times New Roman" w:hAnsi="Arial" w:cs="Arial"/>
              </w:rPr>
            </w:pPr>
            <w:r w:rsidRPr="005C1813">
              <w:rPr>
                <w:rFonts w:ascii="Arial" w:hAnsi="Arial" w:cs="Arial"/>
              </w:rPr>
              <w:t>Should guidance be issued by the DfE / Welsh Government to underpin the BPG set out in this report to help ensure consistency of support and oversight?</w:t>
            </w:r>
          </w:p>
          <w:p w14:paraId="54ED384E" w14:textId="77777777" w:rsidR="005C1813" w:rsidRPr="005C1813" w:rsidRDefault="005C1813" w:rsidP="005C1813">
            <w:pPr>
              <w:pStyle w:val="ListParagraph"/>
              <w:rPr>
                <w:rFonts w:ascii="Arial" w:hAnsi="Arial" w:cs="Arial"/>
              </w:rPr>
            </w:pPr>
          </w:p>
          <w:p w14:paraId="226C15AE" w14:textId="0504484F" w:rsidR="005C1813" w:rsidRPr="005C1813" w:rsidRDefault="005C1813" w:rsidP="005C1813">
            <w:pPr>
              <w:pStyle w:val="ListParagraph"/>
              <w:numPr>
                <w:ilvl w:val="0"/>
                <w:numId w:val="2"/>
              </w:numPr>
              <w:autoSpaceDE w:val="0"/>
              <w:autoSpaceDN w:val="0"/>
              <w:jc w:val="both"/>
              <w:rPr>
                <w:rFonts w:ascii="Arial" w:eastAsia="Times New Roman" w:hAnsi="Arial" w:cs="Arial"/>
              </w:rPr>
            </w:pPr>
            <w:r w:rsidRPr="005C1813">
              <w:rPr>
                <w:rFonts w:ascii="Arial" w:hAnsi="Arial" w:cs="Arial"/>
              </w:rPr>
              <w:t xml:space="preserve">Should there be future legal and practice reforms so that supervision orders are (a) supported under a specific supervision order review pathway provided for in relevant primary and secondary legislation, (b) underpinned, </w:t>
            </w:r>
            <w:proofErr w:type="gramStart"/>
            <w:r w:rsidRPr="005C1813">
              <w:rPr>
                <w:rFonts w:ascii="Arial" w:hAnsi="Arial" w:cs="Arial"/>
              </w:rPr>
              <w:t>supported</w:t>
            </w:r>
            <w:proofErr w:type="gramEnd"/>
            <w:r w:rsidRPr="005C1813">
              <w:rPr>
                <w:rFonts w:ascii="Arial" w:hAnsi="Arial" w:cs="Arial"/>
              </w:rPr>
              <w:t xml:space="preserve"> and reviewed via the child-in-need framework in England, the care and support plan framework in Wales, or (c) underpinned, supported and reviewed through the child protection framework including through child protection plans?</w:t>
            </w:r>
          </w:p>
          <w:p w14:paraId="1B0A85F8" w14:textId="77777777" w:rsidR="00975357" w:rsidRDefault="00975357">
            <w:pPr>
              <w:autoSpaceDE w:val="0"/>
              <w:autoSpaceDN w:val="0"/>
              <w:jc w:val="both"/>
              <w:rPr>
                <w:rFonts w:ascii="Arial" w:hAnsi="Arial" w:cs="Arial"/>
              </w:rPr>
            </w:pPr>
          </w:p>
        </w:tc>
      </w:tr>
    </w:tbl>
    <w:p w14:paraId="20A084C3" w14:textId="77777777" w:rsidR="00975357" w:rsidRDefault="00975357" w:rsidP="00975357">
      <w:pPr>
        <w:autoSpaceDE w:val="0"/>
        <w:autoSpaceDN w:val="0"/>
        <w:jc w:val="both"/>
        <w:rPr>
          <w:rFonts w:ascii="Arial" w:hAnsi="Arial" w:cs="Arial"/>
        </w:rPr>
      </w:pPr>
    </w:p>
    <w:p w14:paraId="4911E51C" w14:textId="77777777" w:rsidR="00975357" w:rsidRDefault="00975357" w:rsidP="00975357">
      <w:pPr>
        <w:jc w:val="both"/>
        <w:rPr>
          <w:rFonts w:ascii="Arial" w:hAnsi="Arial" w:cs="Arial"/>
        </w:rPr>
      </w:pPr>
    </w:p>
    <w:p w14:paraId="4E8F4CD2" w14:textId="77777777" w:rsidR="00975357" w:rsidRDefault="00975357" w:rsidP="00975357">
      <w:pPr>
        <w:jc w:val="both"/>
        <w:rPr>
          <w:rFonts w:ascii="Arial" w:hAnsi="Arial" w:cs="Arial"/>
        </w:rPr>
      </w:pPr>
      <w:r>
        <w:rPr>
          <w:rFonts w:ascii="Arial" w:hAnsi="Arial" w:cs="Arial"/>
        </w:rPr>
        <w:lastRenderedPageBreak/>
        <w:t>Responses from individuals are welcome but the PLWG also encourages collective submissions, for example:</w:t>
      </w:r>
    </w:p>
    <w:p w14:paraId="6A82F279" w14:textId="77777777" w:rsidR="00975357" w:rsidRDefault="00975357" w:rsidP="00975357">
      <w:pPr>
        <w:jc w:val="both"/>
        <w:rPr>
          <w:rFonts w:ascii="Arial" w:hAnsi="Arial" w:cs="Arial"/>
        </w:rPr>
      </w:pPr>
    </w:p>
    <w:p w14:paraId="3C9CF229" w14:textId="669715B1" w:rsidR="00975357" w:rsidRDefault="00975357" w:rsidP="00975357">
      <w:pPr>
        <w:pStyle w:val="ListParagraph"/>
        <w:numPr>
          <w:ilvl w:val="0"/>
          <w:numId w:val="3"/>
        </w:numPr>
        <w:jc w:val="both"/>
        <w:rPr>
          <w:rFonts w:ascii="Arial" w:eastAsia="Times New Roman" w:hAnsi="Arial" w:cs="Arial"/>
        </w:rPr>
      </w:pPr>
      <w:r>
        <w:rPr>
          <w:rFonts w:ascii="Arial" w:eastAsia="Times New Roman" w:hAnsi="Arial" w:cs="Arial"/>
        </w:rPr>
        <w:t xml:space="preserve">Local family justice boards canvassing views regarding the interim report, its </w:t>
      </w:r>
      <w:proofErr w:type="gramStart"/>
      <w:r>
        <w:rPr>
          <w:rFonts w:ascii="Arial" w:eastAsia="Times New Roman" w:hAnsi="Arial" w:cs="Arial"/>
        </w:rPr>
        <w:t>recommendations</w:t>
      </w:r>
      <w:proofErr w:type="gramEnd"/>
      <w:r>
        <w:rPr>
          <w:rFonts w:ascii="Arial" w:eastAsia="Times New Roman" w:hAnsi="Arial" w:cs="Arial"/>
        </w:rPr>
        <w:t xml:space="preserve"> and the best practice guidance from members across the local area with those then reflected in a single submission made on behalf of the board by the Chair</w:t>
      </w:r>
      <w:r w:rsidR="005C1813">
        <w:rPr>
          <w:rFonts w:ascii="Arial" w:eastAsia="Times New Roman" w:hAnsi="Arial" w:cs="Arial"/>
        </w:rPr>
        <w:t>.</w:t>
      </w:r>
    </w:p>
    <w:p w14:paraId="6C02DF71" w14:textId="4D28269A" w:rsidR="00975357" w:rsidRDefault="00975357" w:rsidP="00975357">
      <w:pPr>
        <w:pStyle w:val="ListParagraph"/>
        <w:numPr>
          <w:ilvl w:val="0"/>
          <w:numId w:val="3"/>
        </w:numPr>
        <w:jc w:val="both"/>
        <w:rPr>
          <w:rFonts w:ascii="Arial" w:eastAsia="Times New Roman" w:hAnsi="Arial" w:cs="Arial"/>
        </w:rPr>
      </w:pPr>
      <w:r>
        <w:rPr>
          <w:rFonts w:ascii="Arial" w:eastAsia="Times New Roman" w:hAnsi="Arial" w:cs="Arial"/>
        </w:rPr>
        <w:t>Designated Family Judges seeking the views of stakeholders in their family justice area to inform their responses</w:t>
      </w:r>
      <w:r w:rsidR="005C1813">
        <w:rPr>
          <w:rFonts w:ascii="Arial" w:eastAsia="Times New Roman" w:hAnsi="Arial" w:cs="Arial"/>
        </w:rPr>
        <w:t>.</w:t>
      </w:r>
    </w:p>
    <w:p w14:paraId="4542D601" w14:textId="185DD317" w:rsidR="00975357" w:rsidRDefault="00975357" w:rsidP="00975357">
      <w:pPr>
        <w:pStyle w:val="ListParagraph"/>
        <w:numPr>
          <w:ilvl w:val="0"/>
          <w:numId w:val="3"/>
        </w:numPr>
        <w:jc w:val="both"/>
        <w:rPr>
          <w:rFonts w:ascii="Arial" w:eastAsia="Times New Roman" w:hAnsi="Arial" w:cs="Arial"/>
        </w:rPr>
      </w:pPr>
      <w:r>
        <w:rPr>
          <w:rFonts w:ascii="Arial" w:eastAsia="Times New Roman" w:hAnsi="Arial" w:cs="Arial"/>
        </w:rPr>
        <w:t>Voluntary sector organisations drawing on their expertise of their staff to provide a single organisational response</w:t>
      </w:r>
      <w:r w:rsidR="005C1813">
        <w:rPr>
          <w:rFonts w:ascii="Arial" w:eastAsia="Times New Roman" w:hAnsi="Arial" w:cs="Arial"/>
        </w:rPr>
        <w:t>.</w:t>
      </w:r>
    </w:p>
    <w:p w14:paraId="3018CA31" w14:textId="6277D778" w:rsidR="00975357" w:rsidRDefault="00975357" w:rsidP="00975357">
      <w:pPr>
        <w:pStyle w:val="ListParagraph"/>
        <w:numPr>
          <w:ilvl w:val="0"/>
          <w:numId w:val="3"/>
        </w:numPr>
        <w:jc w:val="both"/>
        <w:rPr>
          <w:rFonts w:ascii="Arial" w:eastAsia="Times New Roman" w:hAnsi="Arial" w:cs="Arial"/>
        </w:rPr>
      </w:pPr>
      <w:r>
        <w:rPr>
          <w:rFonts w:ascii="Arial" w:eastAsia="Times New Roman" w:hAnsi="Arial" w:cs="Arial"/>
        </w:rPr>
        <w:t>Practitioner bodies canvassing views from their membership to inform their submission</w:t>
      </w:r>
      <w:r w:rsidR="005C1813">
        <w:rPr>
          <w:rFonts w:ascii="Arial" w:eastAsia="Times New Roman" w:hAnsi="Arial" w:cs="Arial"/>
        </w:rPr>
        <w:t>.</w:t>
      </w:r>
    </w:p>
    <w:p w14:paraId="42118DDF" w14:textId="2A9206B0" w:rsidR="00975357" w:rsidRDefault="00975357" w:rsidP="00975357">
      <w:pPr>
        <w:pStyle w:val="ListParagraph"/>
        <w:numPr>
          <w:ilvl w:val="0"/>
          <w:numId w:val="3"/>
        </w:numPr>
        <w:jc w:val="both"/>
        <w:rPr>
          <w:rFonts w:ascii="Arial" w:eastAsia="Times New Roman" w:hAnsi="Arial" w:cs="Arial"/>
        </w:rPr>
      </w:pPr>
      <w:r>
        <w:rPr>
          <w:rFonts w:ascii="Arial" w:eastAsia="Times New Roman" w:hAnsi="Arial" w:cs="Arial"/>
        </w:rPr>
        <w:t xml:space="preserve">Individuals, </w:t>
      </w:r>
      <w:proofErr w:type="gramStart"/>
      <w:r>
        <w:rPr>
          <w:rFonts w:ascii="Arial" w:eastAsia="Times New Roman" w:hAnsi="Arial" w:cs="Arial"/>
        </w:rPr>
        <w:t>services</w:t>
      </w:r>
      <w:proofErr w:type="gramEnd"/>
      <w:r>
        <w:rPr>
          <w:rFonts w:ascii="Arial" w:eastAsia="Times New Roman" w:hAnsi="Arial" w:cs="Arial"/>
        </w:rPr>
        <w:t xml:space="preserve"> and organisations working with children and/or families gathering their views and insights and supporting them to make a submission</w:t>
      </w:r>
      <w:r w:rsidR="005C1813">
        <w:rPr>
          <w:rFonts w:ascii="Arial" w:eastAsia="Times New Roman" w:hAnsi="Arial" w:cs="Arial"/>
        </w:rPr>
        <w:t>.</w:t>
      </w:r>
    </w:p>
    <w:p w14:paraId="367C7635" w14:textId="77777777" w:rsidR="00975357" w:rsidRDefault="00975357" w:rsidP="00975357">
      <w:pPr>
        <w:pStyle w:val="ListParagraph"/>
        <w:numPr>
          <w:ilvl w:val="0"/>
          <w:numId w:val="3"/>
        </w:numPr>
        <w:jc w:val="both"/>
        <w:rPr>
          <w:rFonts w:ascii="Arial" w:eastAsia="Times New Roman" w:hAnsi="Arial" w:cs="Arial"/>
        </w:rPr>
      </w:pPr>
      <w:r>
        <w:rPr>
          <w:rFonts w:ascii="Arial" w:eastAsia="Times New Roman" w:hAnsi="Arial" w:cs="Arial"/>
        </w:rPr>
        <w:t>Organisational responses including professional associations and bodies.</w:t>
      </w:r>
    </w:p>
    <w:p w14:paraId="5FCFB30F" w14:textId="77777777" w:rsidR="00975357" w:rsidRDefault="00975357" w:rsidP="00975357">
      <w:pPr>
        <w:jc w:val="both"/>
        <w:rPr>
          <w:rFonts w:ascii="Arial" w:hAnsi="Arial" w:cs="Arial"/>
        </w:rPr>
      </w:pPr>
    </w:p>
    <w:p w14:paraId="3E151E31" w14:textId="13E0995B" w:rsidR="00975357" w:rsidRDefault="00975357" w:rsidP="00975357">
      <w:pPr>
        <w:jc w:val="both"/>
        <w:rPr>
          <w:rFonts w:ascii="Arial" w:hAnsi="Arial" w:cs="Arial"/>
        </w:rPr>
      </w:pPr>
      <w:r>
        <w:rPr>
          <w:rFonts w:ascii="Arial" w:hAnsi="Arial" w:cs="Arial"/>
        </w:rPr>
        <w:t>To assist the PLWG in understanding and analysing the responses, we invite respondents to confirm in their responses the following demographic information:</w:t>
      </w:r>
    </w:p>
    <w:p w14:paraId="2A680636" w14:textId="77777777" w:rsidR="00975357" w:rsidRDefault="00975357" w:rsidP="00975357">
      <w:pPr>
        <w:jc w:val="both"/>
        <w:rPr>
          <w:rFonts w:ascii="Arial" w:hAnsi="Arial" w:cs="Arial"/>
        </w:rPr>
      </w:pPr>
    </w:p>
    <w:p w14:paraId="1C72E185" w14:textId="29A7D9B4" w:rsidR="00975357" w:rsidRPr="005C1813" w:rsidRDefault="00975357" w:rsidP="005C1813">
      <w:pPr>
        <w:pStyle w:val="ListParagraph"/>
        <w:numPr>
          <w:ilvl w:val="0"/>
          <w:numId w:val="4"/>
        </w:numPr>
        <w:jc w:val="both"/>
        <w:rPr>
          <w:rFonts w:ascii="Arial" w:eastAsia="Times New Roman" w:hAnsi="Arial" w:cs="Arial"/>
        </w:rPr>
      </w:pPr>
      <w:r>
        <w:rPr>
          <w:rFonts w:ascii="Arial" w:eastAsia="Times New Roman" w:hAnsi="Arial" w:cs="Arial"/>
        </w:rPr>
        <w:t>Category of respondent into which they fall</w:t>
      </w:r>
      <w:r w:rsidR="005C1813">
        <w:rPr>
          <w:rFonts w:ascii="Arial" w:eastAsia="Times New Roman" w:hAnsi="Arial" w:cs="Arial"/>
        </w:rPr>
        <w:t>.</w:t>
      </w:r>
    </w:p>
    <w:p w14:paraId="631F1C3B" w14:textId="2757A1F0" w:rsidR="00975357" w:rsidRDefault="00975357" w:rsidP="00975357">
      <w:pPr>
        <w:pStyle w:val="ListParagraph"/>
        <w:numPr>
          <w:ilvl w:val="0"/>
          <w:numId w:val="4"/>
        </w:numPr>
        <w:jc w:val="both"/>
        <w:rPr>
          <w:rFonts w:ascii="Arial" w:eastAsia="Times New Roman" w:hAnsi="Arial" w:cs="Arial"/>
        </w:rPr>
      </w:pPr>
      <w:r>
        <w:rPr>
          <w:rFonts w:ascii="Arial" w:eastAsia="Times New Roman" w:hAnsi="Arial" w:cs="Arial"/>
        </w:rPr>
        <w:t xml:space="preserve">Geographical </w:t>
      </w:r>
      <w:proofErr w:type="gramStart"/>
      <w:r>
        <w:rPr>
          <w:rFonts w:ascii="Arial" w:eastAsia="Times New Roman" w:hAnsi="Arial" w:cs="Arial"/>
        </w:rPr>
        <w:t xml:space="preserve">region </w:t>
      </w:r>
      <w:r w:rsidR="005C1813">
        <w:rPr>
          <w:rFonts w:ascii="Arial" w:eastAsia="Times New Roman" w:hAnsi="Arial" w:cs="Arial"/>
        </w:rPr>
        <w:t>.</w:t>
      </w:r>
      <w:proofErr w:type="gramEnd"/>
    </w:p>
    <w:p w14:paraId="6EB2F99E" w14:textId="77777777" w:rsidR="00975357" w:rsidRDefault="00975357" w:rsidP="00975357">
      <w:pPr>
        <w:pStyle w:val="ListParagraph"/>
        <w:jc w:val="both"/>
        <w:rPr>
          <w:rFonts w:ascii="Arial" w:eastAsia="Times New Roman" w:hAnsi="Arial" w:cs="Arial"/>
        </w:rPr>
      </w:pPr>
    </w:p>
    <w:p w14:paraId="4675E75E" w14:textId="1EEB7C76" w:rsidR="00975357" w:rsidRDefault="00975357" w:rsidP="00975357">
      <w:pPr>
        <w:jc w:val="both"/>
        <w:rPr>
          <w:rFonts w:ascii="Arial" w:hAnsi="Arial" w:cs="Arial"/>
        </w:rPr>
      </w:pPr>
      <w:r>
        <w:rPr>
          <w:rFonts w:ascii="Arial" w:hAnsi="Arial" w:cs="Arial"/>
        </w:rPr>
        <w:t>A list of respondent and regions categories is set out below.</w:t>
      </w:r>
    </w:p>
    <w:p w14:paraId="3439E2C8" w14:textId="77777777" w:rsidR="00975357" w:rsidRDefault="00975357" w:rsidP="00975357">
      <w:pPr>
        <w:jc w:val="both"/>
        <w:rPr>
          <w:rFonts w:ascii="Arial" w:hAnsi="Arial" w:cs="Arial"/>
        </w:rPr>
      </w:pPr>
    </w:p>
    <w:p w14:paraId="32C2DFC1" w14:textId="4BC9F3C4" w:rsidR="006A5341" w:rsidRDefault="00975357" w:rsidP="00975357">
      <w:pPr>
        <w:rPr>
          <w:rFonts w:ascii="Arial" w:hAnsi="Arial" w:cs="Arial"/>
        </w:rPr>
      </w:pPr>
      <w:r>
        <w:rPr>
          <w:rFonts w:ascii="Arial" w:hAnsi="Arial" w:cs="Arial"/>
        </w:rPr>
        <w:t>Please provide responses to the consultation by email to martha.thompson@justice.gov.uk and by later than 30 November 2022.</w:t>
      </w:r>
    </w:p>
    <w:p w14:paraId="1D998151" w14:textId="2502D579" w:rsidR="00975357" w:rsidRDefault="00975357" w:rsidP="00975357">
      <w:pPr>
        <w:rPr>
          <w:rFonts w:ascii="Arial" w:hAnsi="Arial" w:cs="Arial"/>
        </w:rPr>
      </w:pPr>
    </w:p>
    <w:p w14:paraId="2759BF84" w14:textId="67EC3BF7" w:rsidR="00975357" w:rsidRDefault="00975357" w:rsidP="00975357">
      <w:pPr>
        <w:rPr>
          <w:rFonts w:asciiTheme="minorBidi" w:hAnsiTheme="minorBidi" w:cstheme="minorBidi"/>
        </w:rPr>
      </w:pPr>
      <w:r w:rsidRPr="00975357">
        <w:rPr>
          <w:rFonts w:asciiTheme="minorBidi" w:hAnsiTheme="minorBidi" w:cstheme="minorBidi"/>
        </w:rPr>
        <w:t xml:space="preserve">When responding to the consultation please confirm the which category of respondent you belong to and the relevant geographical area. </w:t>
      </w:r>
    </w:p>
    <w:p w14:paraId="6CC57361" w14:textId="77777777" w:rsidR="005C1813" w:rsidRPr="00975357" w:rsidRDefault="005C1813" w:rsidP="00975357">
      <w:pPr>
        <w:rPr>
          <w:rFonts w:asciiTheme="minorBidi" w:hAnsiTheme="minorBidi" w:cstheme="minorBidi"/>
        </w:rPr>
      </w:pPr>
    </w:p>
    <w:p w14:paraId="3914ECAA" w14:textId="77777777" w:rsidR="00975357" w:rsidRPr="00975357" w:rsidRDefault="00975357" w:rsidP="00975357">
      <w:pPr>
        <w:rPr>
          <w:rFonts w:asciiTheme="minorBidi" w:hAnsiTheme="minorBidi" w:cstheme="minorBidi"/>
        </w:rPr>
      </w:pPr>
      <w:r w:rsidRPr="00975357">
        <w:rPr>
          <w:rFonts w:asciiTheme="minorBidi" w:hAnsiTheme="minorBidi" w:cstheme="minorBidi"/>
        </w:rPr>
        <w:t>This information is being gathered to assist the PLWG in accurately analysing the consultation responses.</w:t>
      </w:r>
    </w:p>
    <w:p w14:paraId="72C81B0F" w14:textId="77777777" w:rsidR="00975357" w:rsidRDefault="00975357" w:rsidP="00975357"/>
    <w:p w14:paraId="01C2FE79" w14:textId="77777777" w:rsidR="00975357" w:rsidRPr="00975357" w:rsidRDefault="00975357" w:rsidP="00975357">
      <w:pPr>
        <w:rPr>
          <w:rFonts w:asciiTheme="minorBidi" w:hAnsiTheme="minorBidi" w:cstheme="minorBidi"/>
          <w:b/>
          <w:bCs/>
          <w:u w:val="single"/>
        </w:rPr>
      </w:pPr>
      <w:r w:rsidRPr="00975357">
        <w:rPr>
          <w:rFonts w:asciiTheme="minorBidi" w:hAnsiTheme="minorBidi" w:cstheme="minorBidi"/>
          <w:b/>
          <w:bCs/>
          <w:u w:val="single"/>
        </w:rPr>
        <w:t>Respondent type</w:t>
      </w:r>
    </w:p>
    <w:p w14:paraId="30A90A5A" w14:textId="77777777" w:rsidR="00975357" w:rsidRPr="00975357" w:rsidRDefault="00975357" w:rsidP="00975357">
      <w:pPr>
        <w:pStyle w:val="ListParagraph"/>
        <w:numPr>
          <w:ilvl w:val="0"/>
          <w:numId w:val="5"/>
        </w:numPr>
        <w:rPr>
          <w:rFonts w:asciiTheme="minorBidi" w:hAnsiTheme="minorBidi" w:cstheme="minorBidi"/>
        </w:rPr>
      </w:pPr>
      <w:r w:rsidRPr="00975357">
        <w:rPr>
          <w:rFonts w:asciiTheme="minorBidi" w:hAnsiTheme="minorBidi" w:cstheme="minorBidi"/>
        </w:rPr>
        <w:t xml:space="preserve">Parent </w:t>
      </w:r>
    </w:p>
    <w:p w14:paraId="5FFEE07C" w14:textId="77777777" w:rsidR="00975357" w:rsidRPr="00975357" w:rsidRDefault="00975357" w:rsidP="00975357">
      <w:pPr>
        <w:pStyle w:val="ListParagraph"/>
        <w:numPr>
          <w:ilvl w:val="0"/>
          <w:numId w:val="5"/>
        </w:numPr>
        <w:rPr>
          <w:rFonts w:asciiTheme="minorBidi" w:hAnsiTheme="minorBidi" w:cstheme="minorBidi"/>
        </w:rPr>
      </w:pPr>
      <w:r w:rsidRPr="00975357">
        <w:rPr>
          <w:rFonts w:asciiTheme="minorBidi" w:hAnsiTheme="minorBidi" w:cstheme="minorBidi"/>
        </w:rPr>
        <w:t>Other family member/relative</w:t>
      </w:r>
    </w:p>
    <w:p w14:paraId="4FF6D1F5" w14:textId="77777777" w:rsidR="00975357" w:rsidRPr="00975357" w:rsidRDefault="00975357" w:rsidP="00975357">
      <w:pPr>
        <w:pStyle w:val="ListParagraph"/>
        <w:numPr>
          <w:ilvl w:val="0"/>
          <w:numId w:val="5"/>
        </w:numPr>
        <w:rPr>
          <w:rFonts w:asciiTheme="minorBidi" w:hAnsiTheme="minorBidi" w:cstheme="minorBidi"/>
        </w:rPr>
      </w:pPr>
      <w:r w:rsidRPr="00975357">
        <w:rPr>
          <w:rFonts w:asciiTheme="minorBidi" w:hAnsiTheme="minorBidi" w:cstheme="minorBidi"/>
        </w:rPr>
        <w:t xml:space="preserve">Judge </w:t>
      </w:r>
    </w:p>
    <w:p w14:paraId="4AE186D5" w14:textId="77777777" w:rsidR="00975357" w:rsidRPr="00975357" w:rsidRDefault="00975357" w:rsidP="00975357">
      <w:pPr>
        <w:pStyle w:val="ListParagraph"/>
        <w:numPr>
          <w:ilvl w:val="0"/>
          <w:numId w:val="5"/>
        </w:numPr>
        <w:rPr>
          <w:rFonts w:asciiTheme="minorBidi" w:hAnsiTheme="minorBidi" w:cstheme="minorBidi"/>
        </w:rPr>
      </w:pPr>
      <w:r w:rsidRPr="00975357">
        <w:rPr>
          <w:rFonts w:asciiTheme="minorBidi" w:hAnsiTheme="minorBidi" w:cstheme="minorBidi"/>
        </w:rPr>
        <w:t xml:space="preserve">Magistrate </w:t>
      </w:r>
    </w:p>
    <w:p w14:paraId="48FE899F" w14:textId="77777777" w:rsidR="00975357" w:rsidRPr="00975357" w:rsidRDefault="00975357" w:rsidP="00975357">
      <w:pPr>
        <w:pStyle w:val="ListParagraph"/>
        <w:numPr>
          <w:ilvl w:val="0"/>
          <w:numId w:val="5"/>
        </w:numPr>
        <w:rPr>
          <w:rFonts w:asciiTheme="minorBidi" w:hAnsiTheme="minorBidi" w:cstheme="minorBidi"/>
        </w:rPr>
      </w:pPr>
      <w:r w:rsidRPr="00975357">
        <w:rPr>
          <w:rFonts w:asciiTheme="minorBidi" w:hAnsiTheme="minorBidi" w:cstheme="minorBidi"/>
        </w:rPr>
        <w:t xml:space="preserve">Barrister </w:t>
      </w:r>
    </w:p>
    <w:p w14:paraId="67F27658" w14:textId="77777777" w:rsidR="00975357" w:rsidRPr="00975357" w:rsidRDefault="00975357" w:rsidP="00975357">
      <w:pPr>
        <w:pStyle w:val="ListParagraph"/>
        <w:numPr>
          <w:ilvl w:val="0"/>
          <w:numId w:val="5"/>
        </w:numPr>
        <w:rPr>
          <w:rFonts w:asciiTheme="minorBidi" w:hAnsiTheme="minorBidi" w:cstheme="minorBidi"/>
        </w:rPr>
      </w:pPr>
      <w:r w:rsidRPr="00975357">
        <w:rPr>
          <w:rFonts w:asciiTheme="minorBidi" w:hAnsiTheme="minorBidi" w:cstheme="minorBidi"/>
        </w:rPr>
        <w:t xml:space="preserve">Local authority lawyer </w:t>
      </w:r>
    </w:p>
    <w:p w14:paraId="5BB30926" w14:textId="77777777" w:rsidR="00975357" w:rsidRPr="00975357" w:rsidRDefault="00975357" w:rsidP="00975357">
      <w:pPr>
        <w:pStyle w:val="ListParagraph"/>
        <w:numPr>
          <w:ilvl w:val="0"/>
          <w:numId w:val="5"/>
        </w:numPr>
        <w:rPr>
          <w:rFonts w:asciiTheme="minorBidi" w:hAnsiTheme="minorBidi" w:cstheme="minorBidi"/>
        </w:rPr>
      </w:pPr>
      <w:r w:rsidRPr="00975357">
        <w:rPr>
          <w:rFonts w:asciiTheme="minorBidi" w:hAnsiTheme="minorBidi" w:cstheme="minorBidi"/>
        </w:rPr>
        <w:t xml:space="preserve">Solicitor (private practice) </w:t>
      </w:r>
    </w:p>
    <w:p w14:paraId="7E72E851" w14:textId="77777777" w:rsidR="00975357" w:rsidRPr="00975357" w:rsidRDefault="00975357" w:rsidP="00975357">
      <w:pPr>
        <w:pStyle w:val="ListParagraph"/>
        <w:numPr>
          <w:ilvl w:val="0"/>
          <w:numId w:val="5"/>
        </w:numPr>
        <w:rPr>
          <w:rFonts w:asciiTheme="minorBidi" w:hAnsiTheme="minorBidi" w:cstheme="minorBidi"/>
        </w:rPr>
      </w:pPr>
      <w:r w:rsidRPr="00975357">
        <w:rPr>
          <w:rFonts w:asciiTheme="minorBidi" w:hAnsiTheme="minorBidi" w:cstheme="minorBidi"/>
        </w:rPr>
        <w:t xml:space="preserve">Independent social worker </w:t>
      </w:r>
      <w:proofErr w:type="gramStart"/>
      <w:r w:rsidRPr="00975357">
        <w:rPr>
          <w:rFonts w:asciiTheme="minorBidi" w:hAnsiTheme="minorBidi" w:cstheme="minorBidi"/>
        </w:rPr>
        <w:t>Social</w:t>
      </w:r>
      <w:proofErr w:type="gramEnd"/>
      <w:r w:rsidRPr="00975357">
        <w:rPr>
          <w:rFonts w:asciiTheme="minorBidi" w:hAnsiTheme="minorBidi" w:cstheme="minorBidi"/>
        </w:rPr>
        <w:t xml:space="preserve"> worker </w:t>
      </w:r>
    </w:p>
    <w:p w14:paraId="194772C0" w14:textId="77777777" w:rsidR="00975357" w:rsidRPr="00975357" w:rsidRDefault="00975357" w:rsidP="00975357">
      <w:pPr>
        <w:pStyle w:val="ListParagraph"/>
        <w:numPr>
          <w:ilvl w:val="0"/>
          <w:numId w:val="5"/>
        </w:numPr>
        <w:rPr>
          <w:rFonts w:asciiTheme="minorBidi" w:hAnsiTheme="minorBidi" w:cstheme="minorBidi"/>
        </w:rPr>
      </w:pPr>
      <w:r w:rsidRPr="00975357">
        <w:rPr>
          <w:rFonts w:asciiTheme="minorBidi" w:hAnsiTheme="minorBidi" w:cstheme="minorBidi"/>
        </w:rPr>
        <w:t xml:space="preserve">Social work manager </w:t>
      </w:r>
    </w:p>
    <w:p w14:paraId="6509E506" w14:textId="77777777" w:rsidR="00975357" w:rsidRPr="00975357" w:rsidRDefault="00975357" w:rsidP="00975357">
      <w:pPr>
        <w:pStyle w:val="ListParagraph"/>
        <w:numPr>
          <w:ilvl w:val="0"/>
          <w:numId w:val="5"/>
        </w:numPr>
        <w:rPr>
          <w:rFonts w:asciiTheme="minorBidi" w:hAnsiTheme="minorBidi" w:cstheme="minorBidi"/>
        </w:rPr>
      </w:pPr>
      <w:r w:rsidRPr="00975357">
        <w:rPr>
          <w:rFonts w:asciiTheme="minorBidi" w:hAnsiTheme="minorBidi" w:cstheme="minorBidi"/>
        </w:rPr>
        <w:t xml:space="preserve">Independent reviewing officer </w:t>
      </w:r>
    </w:p>
    <w:p w14:paraId="47A3F6A3" w14:textId="77777777" w:rsidR="00975357" w:rsidRPr="00975357" w:rsidRDefault="00975357" w:rsidP="00975357">
      <w:pPr>
        <w:pStyle w:val="ListParagraph"/>
        <w:numPr>
          <w:ilvl w:val="0"/>
          <w:numId w:val="5"/>
        </w:numPr>
        <w:rPr>
          <w:rFonts w:asciiTheme="minorBidi" w:hAnsiTheme="minorBidi" w:cstheme="minorBidi"/>
        </w:rPr>
      </w:pPr>
      <w:r w:rsidRPr="00975357">
        <w:rPr>
          <w:rFonts w:asciiTheme="minorBidi" w:hAnsiTheme="minorBidi" w:cstheme="minorBidi"/>
        </w:rPr>
        <w:t>Other children’s social care practitioner</w:t>
      </w:r>
    </w:p>
    <w:p w14:paraId="7839B4C9" w14:textId="77777777" w:rsidR="00975357" w:rsidRPr="00975357" w:rsidRDefault="00975357" w:rsidP="00975357">
      <w:pPr>
        <w:pStyle w:val="ListParagraph"/>
        <w:numPr>
          <w:ilvl w:val="0"/>
          <w:numId w:val="5"/>
        </w:numPr>
        <w:rPr>
          <w:rFonts w:asciiTheme="minorBidi" w:hAnsiTheme="minorBidi" w:cstheme="minorBidi"/>
        </w:rPr>
      </w:pPr>
      <w:r w:rsidRPr="00975357">
        <w:rPr>
          <w:rFonts w:asciiTheme="minorBidi" w:hAnsiTheme="minorBidi" w:cstheme="minorBidi"/>
        </w:rPr>
        <w:t xml:space="preserve">Director of children’s services </w:t>
      </w:r>
    </w:p>
    <w:p w14:paraId="58D98099" w14:textId="77777777" w:rsidR="00975357" w:rsidRPr="00975357" w:rsidRDefault="00975357" w:rsidP="00975357">
      <w:pPr>
        <w:pStyle w:val="ListParagraph"/>
        <w:numPr>
          <w:ilvl w:val="0"/>
          <w:numId w:val="5"/>
        </w:numPr>
        <w:rPr>
          <w:rFonts w:asciiTheme="minorBidi" w:hAnsiTheme="minorBidi" w:cstheme="minorBidi"/>
        </w:rPr>
      </w:pPr>
      <w:r w:rsidRPr="00975357">
        <w:rPr>
          <w:rFonts w:asciiTheme="minorBidi" w:hAnsiTheme="minorBidi" w:cstheme="minorBidi"/>
        </w:rPr>
        <w:t xml:space="preserve">Family support worker </w:t>
      </w:r>
    </w:p>
    <w:p w14:paraId="2B2757E8" w14:textId="77777777" w:rsidR="00975357" w:rsidRPr="00975357" w:rsidRDefault="00975357" w:rsidP="00975357">
      <w:pPr>
        <w:pStyle w:val="ListParagraph"/>
        <w:numPr>
          <w:ilvl w:val="0"/>
          <w:numId w:val="5"/>
        </w:numPr>
        <w:rPr>
          <w:rFonts w:asciiTheme="minorBidi" w:hAnsiTheme="minorBidi" w:cstheme="minorBidi"/>
        </w:rPr>
      </w:pPr>
      <w:r w:rsidRPr="00975357">
        <w:rPr>
          <w:rFonts w:asciiTheme="minorBidi" w:hAnsiTheme="minorBidi" w:cstheme="minorBidi"/>
        </w:rPr>
        <w:t xml:space="preserve">Cafcass </w:t>
      </w:r>
    </w:p>
    <w:p w14:paraId="1F642F75" w14:textId="77777777" w:rsidR="00975357" w:rsidRPr="00975357" w:rsidRDefault="00975357" w:rsidP="00975357">
      <w:pPr>
        <w:pStyle w:val="ListParagraph"/>
        <w:numPr>
          <w:ilvl w:val="0"/>
          <w:numId w:val="5"/>
        </w:numPr>
        <w:rPr>
          <w:rFonts w:asciiTheme="minorBidi" w:hAnsiTheme="minorBidi" w:cstheme="minorBidi"/>
        </w:rPr>
      </w:pPr>
      <w:r w:rsidRPr="00975357">
        <w:rPr>
          <w:rFonts w:asciiTheme="minorBidi" w:hAnsiTheme="minorBidi" w:cstheme="minorBidi"/>
        </w:rPr>
        <w:t xml:space="preserve">Cafcass Cymru </w:t>
      </w:r>
    </w:p>
    <w:p w14:paraId="617D5C9D" w14:textId="77777777" w:rsidR="00975357" w:rsidRPr="00975357" w:rsidRDefault="00975357" w:rsidP="00975357">
      <w:pPr>
        <w:pStyle w:val="ListParagraph"/>
        <w:numPr>
          <w:ilvl w:val="0"/>
          <w:numId w:val="5"/>
        </w:numPr>
        <w:rPr>
          <w:rFonts w:asciiTheme="minorBidi" w:hAnsiTheme="minorBidi" w:cstheme="minorBidi"/>
        </w:rPr>
      </w:pPr>
      <w:r w:rsidRPr="00975357">
        <w:rPr>
          <w:rFonts w:asciiTheme="minorBidi" w:hAnsiTheme="minorBidi" w:cstheme="minorBidi"/>
        </w:rPr>
        <w:t xml:space="preserve">Legal adviser (magistrates court) </w:t>
      </w:r>
    </w:p>
    <w:p w14:paraId="2156ED52" w14:textId="77777777" w:rsidR="00975357" w:rsidRPr="00975357" w:rsidRDefault="00975357" w:rsidP="00975357">
      <w:pPr>
        <w:pStyle w:val="ListParagraph"/>
        <w:numPr>
          <w:ilvl w:val="0"/>
          <w:numId w:val="5"/>
        </w:numPr>
        <w:rPr>
          <w:rFonts w:asciiTheme="minorBidi" w:hAnsiTheme="minorBidi" w:cstheme="minorBidi"/>
        </w:rPr>
      </w:pPr>
      <w:r w:rsidRPr="00975357">
        <w:rPr>
          <w:rFonts w:asciiTheme="minorBidi" w:hAnsiTheme="minorBidi" w:cstheme="minorBidi"/>
        </w:rPr>
        <w:t xml:space="preserve">Voluntary sector organisation </w:t>
      </w:r>
    </w:p>
    <w:p w14:paraId="1EDB270D" w14:textId="77777777" w:rsidR="00975357" w:rsidRPr="00975357" w:rsidRDefault="00975357" w:rsidP="00975357">
      <w:pPr>
        <w:pStyle w:val="ListParagraph"/>
        <w:numPr>
          <w:ilvl w:val="0"/>
          <w:numId w:val="5"/>
        </w:numPr>
        <w:rPr>
          <w:rFonts w:asciiTheme="minorBidi" w:hAnsiTheme="minorBidi" w:cstheme="minorBidi"/>
        </w:rPr>
      </w:pPr>
      <w:r w:rsidRPr="00975357">
        <w:rPr>
          <w:rFonts w:asciiTheme="minorBidi" w:hAnsiTheme="minorBidi" w:cstheme="minorBidi"/>
        </w:rPr>
        <w:t>Advocate</w:t>
      </w:r>
    </w:p>
    <w:p w14:paraId="5875E368" w14:textId="77777777" w:rsidR="00975357" w:rsidRPr="00975357" w:rsidRDefault="00975357" w:rsidP="00975357">
      <w:pPr>
        <w:pStyle w:val="ListParagraph"/>
        <w:numPr>
          <w:ilvl w:val="0"/>
          <w:numId w:val="5"/>
        </w:numPr>
        <w:rPr>
          <w:rFonts w:asciiTheme="minorBidi" w:eastAsia="Times New Roman" w:hAnsiTheme="minorBidi" w:cstheme="minorBidi"/>
        </w:rPr>
      </w:pPr>
      <w:r w:rsidRPr="00975357">
        <w:rPr>
          <w:rFonts w:asciiTheme="minorBidi" w:eastAsia="Times New Roman" w:hAnsiTheme="minorBidi" w:cstheme="minorBidi"/>
        </w:rPr>
        <w:lastRenderedPageBreak/>
        <w:t xml:space="preserve">Response on behalf of a local Family Justice Board </w:t>
      </w:r>
    </w:p>
    <w:p w14:paraId="3DA1E3C6" w14:textId="77777777" w:rsidR="00975357" w:rsidRPr="00975357" w:rsidRDefault="00975357" w:rsidP="00975357">
      <w:pPr>
        <w:pStyle w:val="ListParagraph"/>
        <w:numPr>
          <w:ilvl w:val="0"/>
          <w:numId w:val="5"/>
        </w:numPr>
        <w:rPr>
          <w:rFonts w:asciiTheme="minorBidi" w:eastAsia="Times New Roman" w:hAnsiTheme="minorBidi" w:cstheme="minorBidi"/>
        </w:rPr>
      </w:pPr>
      <w:r w:rsidRPr="00975357">
        <w:rPr>
          <w:rFonts w:asciiTheme="minorBidi" w:eastAsia="Times New Roman" w:hAnsiTheme="minorBidi" w:cstheme="minorBidi"/>
        </w:rPr>
        <w:t xml:space="preserve">Practitioner body or association </w:t>
      </w:r>
    </w:p>
    <w:p w14:paraId="06ABF85A" w14:textId="77777777" w:rsidR="00975357" w:rsidRPr="00975357" w:rsidRDefault="00975357" w:rsidP="00975357">
      <w:pPr>
        <w:pStyle w:val="ListParagraph"/>
        <w:numPr>
          <w:ilvl w:val="0"/>
          <w:numId w:val="5"/>
        </w:numPr>
        <w:rPr>
          <w:rFonts w:asciiTheme="minorBidi" w:eastAsia="Times New Roman" w:hAnsiTheme="minorBidi" w:cstheme="minorBidi"/>
        </w:rPr>
      </w:pPr>
      <w:r w:rsidRPr="00975357">
        <w:rPr>
          <w:rFonts w:asciiTheme="minorBidi" w:eastAsia="Times New Roman" w:hAnsiTheme="minorBidi" w:cstheme="minorBidi"/>
        </w:rPr>
        <w:t>Voluntary sector organisation.</w:t>
      </w:r>
    </w:p>
    <w:p w14:paraId="0E634ADF" w14:textId="77777777" w:rsidR="00975357" w:rsidRPr="00975357" w:rsidRDefault="00975357" w:rsidP="00975357">
      <w:pPr>
        <w:pStyle w:val="ListParagraph"/>
        <w:numPr>
          <w:ilvl w:val="0"/>
          <w:numId w:val="5"/>
        </w:numPr>
        <w:rPr>
          <w:rFonts w:asciiTheme="minorBidi" w:hAnsiTheme="minorBidi" w:cstheme="minorBidi"/>
        </w:rPr>
      </w:pPr>
      <w:r w:rsidRPr="00975357">
        <w:rPr>
          <w:rFonts w:asciiTheme="minorBidi" w:hAnsiTheme="minorBidi" w:cstheme="minorBidi"/>
        </w:rPr>
        <w:t>Other – give details</w:t>
      </w:r>
    </w:p>
    <w:p w14:paraId="123C0D01" w14:textId="77777777" w:rsidR="00975357" w:rsidRPr="00975357" w:rsidRDefault="00975357" w:rsidP="00975357">
      <w:pPr>
        <w:rPr>
          <w:rFonts w:asciiTheme="minorBidi" w:hAnsiTheme="minorBidi" w:cstheme="minorBidi"/>
        </w:rPr>
      </w:pPr>
    </w:p>
    <w:p w14:paraId="24CB977D" w14:textId="77777777" w:rsidR="00975357" w:rsidRPr="00975357" w:rsidRDefault="00975357" w:rsidP="00975357">
      <w:pPr>
        <w:rPr>
          <w:rFonts w:asciiTheme="minorBidi" w:hAnsiTheme="minorBidi" w:cstheme="minorBidi"/>
          <w:b/>
          <w:bCs/>
          <w:u w:val="single"/>
        </w:rPr>
      </w:pPr>
      <w:r w:rsidRPr="00975357">
        <w:rPr>
          <w:rFonts w:asciiTheme="minorBidi" w:hAnsiTheme="minorBidi" w:cstheme="minorBidi"/>
          <w:b/>
          <w:bCs/>
          <w:u w:val="single"/>
        </w:rPr>
        <w:t xml:space="preserve">Area or areas in which you work/to which your response relates. </w:t>
      </w:r>
    </w:p>
    <w:p w14:paraId="317F4BC3" w14:textId="77777777" w:rsidR="00975357" w:rsidRPr="00975357" w:rsidRDefault="00975357" w:rsidP="00975357">
      <w:pPr>
        <w:pStyle w:val="ListParagraph"/>
        <w:numPr>
          <w:ilvl w:val="0"/>
          <w:numId w:val="6"/>
        </w:numPr>
        <w:rPr>
          <w:rFonts w:asciiTheme="minorBidi" w:hAnsiTheme="minorBidi" w:cstheme="minorBidi"/>
        </w:rPr>
      </w:pPr>
      <w:proofErr w:type="gramStart"/>
      <w:r w:rsidRPr="00975357">
        <w:rPr>
          <w:rFonts w:asciiTheme="minorBidi" w:hAnsiTheme="minorBidi" w:cstheme="minorBidi"/>
        </w:rPr>
        <w:t>North West</w:t>
      </w:r>
      <w:proofErr w:type="gramEnd"/>
      <w:r w:rsidRPr="00975357">
        <w:rPr>
          <w:rFonts w:asciiTheme="minorBidi" w:hAnsiTheme="minorBidi" w:cstheme="minorBidi"/>
        </w:rPr>
        <w:t xml:space="preserve"> </w:t>
      </w:r>
    </w:p>
    <w:p w14:paraId="7B8A37E6" w14:textId="77777777" w:rsidR="00975357" w:rsidRPr="00975357" w:rsidRDefault="00975357" w:rsidP="00975357">
      <w:pPr>
        <w:pStyle w:val="ListParagraph"/>
        <w:numPr>
          <w:ilvl w:val="0"/>
          <w:numId w:val="6"/>
        </w:numPr>
        <w:rPr>
          <w:rFonts w:asciiTheme="minorBidi" w:hAnsiTheme="minorBidi" w:cstheme="minorBidi"/>
        </w:rPr>
      </w:pPr>
      <w:proofErr w:type="gramStart"/>
      <w:r w:rsidRPr="00975357">
        <w:rPr>
          <w:rFonts w:asciiTheme="minorBidi" w:hAnsiTheme="minorBidi" w:cstheme="minorBidi"/>
        </w:rPr>
        <w:t>North East</w:t>
      </w:r>
      <w:proofErr w:type="gramEnd"/>
      <w:r w:rsidRPr="00975357">
        <w:rPr>
          <w:rFonts w:asciiTheme="minorBidi" w:hAnsiTheme="minorBidi" w:cstheme="minorBidi"/>
        </w:rPr>
        <w:t xml:space="preserve"> Yorkshire and the Humber </w:t>
      </w:r>
    </w:p>
    <w:p w14:paraId="008F7E60" w14:textId="77777777" w:rsidR="00975357" w:rsidRPr="00975357" w:rsidRDefault="00975357" w:rsidP="00975357">
      <w:pPr>
        <w:pStyle w:val="ListParagraph"/>
        <w:numPr>
          <w:ilvl w:val="0"/>
          <w:numId w:val="6"/>
        </w:numPr>
        <w:rPr>
          <w:rFonts w:asciiTheme="minorBidi" w:hAnsiTheme="minorBidi" w:cstheme="minorBidi"/>
        </w:rPr>
      </w:pPr>
      <w:r w:rsidRPr="00975357">
        <w:rPr>
          <w:rFonts w:asciiTheme="minorBidi" w:hAnsiTheme="minorBidi" w:cstheme="minorBidi"/>
        </w:rPr>
        <w:t xml:space="preserve">West Midlands </w:t>
      </w:r>
    </w:p>
    <w:p w14:paraId="1BEFDA41" w14:textId="77777777" w:rsidR="00975357" w:rsidRPr="00975357" w:rsidRDefault="00975357" w:rsidP="00975357">
      <w:pPr>
        <w:pStyle w:val="ListParagraph"/>
        <w:numPr>
          <w:ilvl w:val="0"/>
          <w:numId w:val="6"/>
        </w:numPr>
        <w:rPr>
          <w:rFonts w:asciiTheme="minorBidi" w:hAnsiTheme="minorBidi" w:cstheme="minorBidi"/>
        </w:rPr>
      </w:pPr>
      <w:r w:rsidRPr="00975357">
        <w:rPr>
          <w:rFonts w:asciiTheme="minorBidi" w:hAnsiTheme="minorBidi" w:cstheme="minorBidi"/>
        </w:rPr>
        <w:t xml:space="preserve">East Midlands </w:t>
      </w:r>
    </w:p>
    <w:p w14:paraId="5B94BDFD" w14:textId="77777777" w:rsidR="00975357" w:rsidRPr="00975357" w:rsidRDefault="00975357" w:rsidP="00975357">
      <w:pPr>
        <w:pStyle w:val="ListParagraph"/>
        <w:numPr>
          <w:ilvl w:val="0"/>
          <w:numId w:val="6"/>
        </w:numPr>
        <w:rPr>
          <w:rFonts w:asciiTheme="minorBidi" w:hAnsiTheme="minorBidi" w:cstheme="minorBidi"/>
        </w:rPr>
      </w:pPr>
      <w:r w:rsidRPr="00975357">
        <w:rPr>
          <w:rFonts w:asciiTheme="minorBidi" w:hAnsiTheme="minorBidi" w:cstheme="minorBidi"/>
        </w:rPr>
        <w:t xml:space="preserve">East of England </w:t>
      </w:r>
    </w:p>
    <w:p w14:paraId="74497819" w14:textId="77777777" w:rsidR="00975357" w:rsidRPr="00975357" w:rsidRDefault="00975357" w:rsidP="00975357">
      <w:pPr>
        <w:pStyle w:val="ListParagraph"/>
        <w:numPr>
          <w:ilvl w:val="0"/>
          <w:numId w:val="6"/>
        </w:numPr>
        <w:rPr>
          <w:rFonts w:asciiTheme="minorBidi" w:hAnsiTheme="minorBidi" w:cstheme="minorBidi"/>
        </w:rPr>
      </w:pPr>
      <w:proofErr w:type="gramStart"/>
      <w:r w:rsidRPr="00975357">
        <w:rPr>
          <w:rFonts w:asciiTheme="minorBidi" w:hAnsiTheme="minorBidi" w:cstheme="minorBidi"/>
        </w:rPr>
        <w:t>South East</w:t>
      </w:r>
      <w:proofErr w:type="gramEnd"/>
      <w:r w:rsidRPr="00975357">
        <w:rPr>
          <w:rFonts w:asciiTheme="minorBidi" w:hAnsiTheme="minorBidi" w:cstheme="minorBidi"/>
        </w:rPr>
        <w:t xml:space="preserve"> </w:t>
      </w:r>
    </w:p>
    <w:p w14:paraId="41914FDE" w14:textId="77777777" w:rsidR="00975357" w:rsidRPr="00975357" w:rsidRDefault="00975357" w:rsidP="00975357">
      <w:pPr>
        <w:pStyle w:val="ListParagraph"/>
        <w:numPr>
          <w:ilvl w:val="0"/>
          <w:numId w:val="6"/>
        </w:numPr>
        <w:rPr>
          <w:rFonts w:asciiTheme="minorBidi" w:hAnsiTheme="minorBidi" w:cstheme="minorBidi"/>
        </w:rPr>
      </w:pPr>
      <w:proofErr w:type="gramStart"/>
      <w:r w:rsidRPr="00975357">
        <w:rPr>
          <w:rFonts w:asciiTheme="minorBidi" w:hAnsiTheme="minorBidi" w:cstheme="minorBidi"/>
        </w:rPr>
        <w:t>South West</w:t>
      </w:r>
      <w:proofErr w:type="gramEnd"/>
      <w:r w:rsidRPr="00975357">
        <w:rPr>
          <w:rFonts w:asciiTheme="minorBidi" w:hAnsiTheme="minorBidi" w:cstheme="minorBidi"/>
        </w:rPr>
        <w:t xml:space="preserve"> </w:t>
      </w:r>
    </w:p>
    <w:p w14:paraId="7EB1C9FE" w14:textId="77777777" w:rsidR="00975357" w:rsidRPr="00975357" w:rsidRDefault="00975357" w:rsidP="00975357">
      <w:pPr>
        <w:pStyle w:val="ListParagraph"/>
        <w:numPr>
          <w:ilvl w:val="0"/>
          <w:numId w:val="6"/>
        </w:numPr>
        <w:rPr>
          <w:rFonts w:asciiTheme="minorBidi" w:hAnsiTheme="minorBidi" w:cstheme="minorBidi"/>
        </w:rPr>
      </w:pPr>
      <w:r w:rsidRPr="00975357">
        <w:rPr>
          <w:rFonts w:asciiTheme="minorBidi" w:hAnsiTheme="minorBidi" w:cstheme="minorBidi"/>
        </w:rPr>
        <w:t xml:space="preserve">London </w:t>
      </w:r>
    </w:p>
    <w:p w14:paraId="059F0705" w14:textId="092D0348" w:rsidR="00975357" w:rsidRDefault="00975357" w:rsidP="00975357">
      <w:pPr>
        <w:pStyle w:val="ListParagraph"/>
        <w:numPr>
          <w:ilvl w:val="0"/>
          <w:numId w:val="6"/>
        </w:numPr>
        <w:rPr>
          <w:rFonts w:asciiTheme="minorBidi" w:hAnsiTheme="minorBidi" w:cstheme="minorBidi"/>
        </w:rPr>
      </w:pPr>
      <w:r w:rsidRPr="00975357">
        <w:rPr>
          <w:rFonts w:asciiTheme="minorBidi" w:hAnsiTheme="minorBidi" w:cstheme="minorBidi"/>
        </w:rPr>
        <w:t>Wales.</w:t>
      </w:r>
    </w:p>
    <w:p w14:paraId="1EE3A988" w14:textId="77777777" w:rsidR="00975357" w:rsidRPr="00975357" w:rsidRDefault="00975357" w:rsidP="00975357">
      <w:pPr>
        <w:pStyle w:val="ListParagraph"/>
        <w:rPr>
          <w:rFonts w:asciiTheme="minorBidi" w:hAnsiTheme="minorBidi" w:cstheme="minorBidi"/>
        </w:rPr>
      </w:pPr>
    </w:p>
    <w:p w14:paraId="40DCF41A" w14:textId="77777777" w:rsidR="00975357" w:rsidRPr="00975357" w:rsidRDefault="00975357" w:rsidP="00975357">
      <w:pPr>
        <w:rPr>
          <w:rFonts w:asciiTheme="minorBidi" w:hAnsiTheme="minorBidi" w:cstheme="minorBidi"/>
        </w:rPr>
      </w:pPr>
      <w:r w:rsidRPr="00975357">
        <w:rPr>
          <w:rFonts w:asciiTheme="minorBidi" w:hAnsiTheme="minorBidi" w:cstheme="minorBidi"/>
        </w:rPr>
        <w:t xml:space="preserve">If you sit as a judge or magistrate, or represent or otherwise support parents or children, across different areas, please reference all that apply. </w:t>
      </w:r>
    </w:p>
    <w:p w14:paraId="78C43CA6" w14:textId="77777777" w:rsidR="00975357" w:rsidRPr="00975357" w:rsidRDefault="00975357" w:rsidP="00975357">
      <w:pPr>
        <w:rPr>
          <w:rFonts w:asciiTheme="minorBidi" w:hAnsiTheme="minorBidi" w:cstheme="minorBidi"/>
        </w:rPr>
      </w:pPr>
    </w:p>
    <w:sectPr w:rsidR="00975357" w:rsidRPr="009753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C6C10"/>
    <w:multiLevelType w:val="hybridMultilevel"/>
    <w:tmpl w:val="C03E81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8F35D7A"/>
    <w:multiLevelType w:val="hybridMultilevel"/>
    <w:tmpl w:val="EC4CB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E7645C4"/>
    <w:multiLevelType w:val="hybridMultilevel"/>
    <w:tmpl w:val="4296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71C045F"/>
    <w:multiLevelType w:val="multilevel"/>
    <w:tmpl w:val="18CA4924"/>
    <w:lvl w:ilvl="0">
      <w:start w:val="1"/>
      <w:numFmt w:val="decimal"/>
      <w:lvlText w:val="%1."/>
      <w:lvlJc w:val="left"/>
      <w:pPr>
        <w:ind w:left="360" w:hanging="360"/>
      </w:pPr>
      <w:rPr>
        <w:rFonts w:ascii="Avenir Book" w:hAnsi="Avenir Book" w:hint="default"/>
        <w:b w:val="0"/>
        <w:i w:val="0"/>
        <w:iCs w:val="0"/>
        <w:sz w:val="24"/>
        <w:szCs w:val="24"/>
      </w:rPr>
    </w:lvl>
    <w:lvl w:ilvl="1">
      <w:start w:val="1"/>
      <w:numFmt w:val="lowerRoman"/>
      <w:lvlText w:val="%2."/>
      <w:lvlJc w:val="right"/>
      <w:pPr>
        <w:ind w:left="720" w:hanging="360"/>
      </w:pPr>
      <w:rPr>
        <w:rFonts w:ascii="Avenir Book" w:hAnsi="Avenir Book"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EFD22AE"/>
    <w:multiLevelType w:val="hybridMultilevel"/>
    <w:tmpl w:val="4484D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7D15A46"/>
    <w:multiLevelType w:val="hybridMultilevel"/>
    <w:tmpl w:val="23A6148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7C120D87"/>
    <w:multiLevelType w:val="hybridMultilevel"/>
    <w:tmpl w:val="26CA8CA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519858677">
    <w:abstractNumId w:val="4"/>
  </w:num>
  <w:num w:numId="2" w16cid:durableId="722093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7632243">
    <w:abstractNumId w:val="6"/>
  </w:num>
  <w:num w:numId="4" w16cid:durableId="1289437953">
    <w:abstractNumId w:val="5"/>
  </w:num>
  <w:num w:numId="5" w16cid:durableId="680088457">
    <w:abstractNumId w:val="1"/>
  </w:num>
  <w:num w:numId="6" w16cid:durableId="1951669499">
    <w:abstractNumId w:val="2"/>
  </w:num>
  <w:num w:numId="7" w16cid:durableId="43990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357"/>
    <w:rsid w:val="005C1813"/>
    <w:rsid w:val="00975357"/>
    <w:rsid w:val="0098330B"/>
    <w:rsid w:val="00B5093C"/>
    <w:rsid w:val="00CF40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EC0B0"/>
  <w15:chartTrackingRefBased/>
  <w15:docId w15:val="{C4768418-9567-4C99-B909-E1B17340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35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3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727399">
      <w:bodyDiv w:val="1"/>
      <w:marLeft w:val="0"/>
      <w:marRight w:val="0"/>
      <w:marTop w:val="0"/>
      <w:marBottom w:val="0"/>
      <w:divBdr>
        <w:top w:val="none" w:sz="0" w:space="0" w:color="auto"/>
        <w:left w:val="none" w:sz="0" w:space="0" w:color="auto"/>
        <w:bottom w:val="none" w:sz="0" w:space="0" w:color="auto"/>
        <w:right w:val="none" w:sz="0" w:space="0" w:color="auto"/>
      </w:divBdr>
    </w:div>
    <w:div w:id="190803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Keehan, Mr Justice</dc:creator>
  <cp:keywords/>
  <dc:description/>
  <cp:lastModifiedBy>Alexander Laing</cp:lastModifiedBy>
  <cp:revision>3</cp:revision>
  <dcterms:created xsi:type="dcterms:W3CDTF">2022-10-31T17:38:00Z</dcterms:created>
  <dcterms:modified xsi:type="dcterms:W3CDTF">2022-10-31T17:44:00Z</dcterms:modified>
</cp:coreProperties>
</file>