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2"/>
        </w:rPr>
      </w:pPr>
    </w:p>
    <w:p>
      <w:pPr>
        <w:spacing w:before="100"/>
        <w:ind w:left="280" w:right="0" w:firstLine="0"/>
        <w:jc w:val="left"/>
        <w:rPr>
          <w:b/>
          <w:sz w:val="22"/>
        </w:rPr>
      </w:pPr>
      <w:r>
        <w:rPr>
          <w:b/>
          <w:sz w:val="22"/>
        </w:rPr>
        <w:t>Regulation 28: REPORT TO PREVENT FUTURE DEATHS</w:t>
      </w:r>
    </w:p>
    <w:p>
      <w:pPr>
        <w:spacing w:line="240" w:lineRule="auto" w:before="11"/>
        <w:rPr>
          <w:b/>
          <w:sz w:val="32"/>
        </w:rPr>
      </w:pPr>
    </w:p>
    <w:p>
      <w:pPr>
        <w:spacing w:before="0" w:after="34"/>
        <w:ind w:left="280" w:right="0" w:firstLine="0"/>
        <w:jc w:val="left"/>
        <w:rPr>
          <w:sz w:val="18"/>
        </w:rPr>
      </w:pPr>
      <w:r>
        <w:rPr/>
        <w:pict>
          <v:shape style="position:absolute;margin-left:106.892006pt;margin-top:57.840633pt;width:75.350pt;height:32.85pt;mso-position-horizontal-relative:page;mso-position-vertical-relative:paragraph;z-index:-251887616" coordorigin="2138,1157" coordsize="1507,657" path="m3645,1594l3595,1594,3595,1376,3482,1376,3482,1157,2138,1157,2138,1376,2138,1594,2138,1813,3645,1813,3645,1594e" filled="true" fillcolor="#000000" stroked="false">
            <v:path arrowok="t"/>
            <v:fill type="solid"/>
            <w10:wrap type="none"/>
          </v:shape>
        </w:pict>
      </w:r>
      <w:r>
        <w:rPr>
          <w:sz w:val="18"/>
        </w:rPr>
        <w:t>NOTE: This form is to be used </w:t>
      </w:r>
      <w:r>
        <w:rPr>
          <w:b/>
          <w:sz w:val="18"/>
        </w:rPr>
        <w:t>after </w:t>
      </w:r>
      <w:r>
        <w:rPr>
          <w:sz w:val="18"/>
        </w:rPr>
        <w:t>an inquest.</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1"/>
        <w:gridCol w:w="8595"/>
      </w:tblGrid>
      <w:tr>
        <w:trPr>
          <w:trHeight w:val="2187" w:hRule="atLeast"/>
        </w:trPr>
        <w:tc>
          <w:tcPr>
            <w:tcW w:w="421" w:type="dxa"/>
          </w:tcPr>
          <w:p>
            <w:pPr>
              <w:pStyle w:val="TableParagraph"/>
              <w:ind w:left="0"/>
              <w:rPr>
                <w:rFonts w:ascii="Times New Roman"/>
                <w:sz w:val="18"/>
              </w:rPr>
            </w:pPr>
          </w:p>
        </w:tc>
        <w:tc>
          <w:tcPr>
            <w:tcW w:w="8595" w:type="dxa"/>
          </w:tcPr>
          <w:p>
            <w:pPr>
              <w:pStyle w:val="TableParagraph"/>
              <w:spacing w:line="480" w:lineRule="auto"/>
              <w:ind w:right="3725"/>
              <w:rPr>
                <w:b/>
                <w:sz w:val="18"/>
              </w:rPr>
            </w:pPr>
            <w:r>
              <w:rPr>
                <w:b/>
                <w:sz w:val="18"/>
              </w:rPr>
              <w:t>REGULATION 28 REPORT TO PREVENT DEATHS THIS REPORT IS BEING SENT TO:</w:t>
            </w:r>
          </w:p>
          <w:p>
            <w:pPr>
              <w:pStyle w:val="TableParagraph"/>
              <w:numPr>
                <w:ilvl w:val="0"/>
                <w:numId w:val="1"/>
              </w:numPr>
              <w:tabs>
                <w:tab w:pos="1873" w:val="left" w:leader="none"/>
                <w:tab w:pos="1874" w:val="left" w:leader="none"/>
              </w:tabs>
              <w:spacing w:line="240" w:lineRule="auto" w:before="0" w:after="0"/>
              <w:ind w:left="1874" w:right="0" w:hanging="1767"/>
              <w:jc w:val="left"/>
              <w:rPr>
                <w:b/>
                <w:sz w:val="18"/>
              </w:rPr>
            </w:pPr>
            <w:r>
              <w:rPr>
                <w:b/>
                <w:sz w:val="18"/>
              </w:rPr>
              <w:t>Health &amp; Safety</w:t>
            </w:r>
            <w:r>
              <w:rPr>
                <w:b/>
                <w:spacing w:val="-2"/>
                <w:sz w:val="18"/>
              </w:rPr>
              <w:t> </w:t>
            </w:r>
            <w:r>
              <w:rPr>
                <w:b/>
                <w:sz w:val="18"/>
              </w:rPr>
              <w:t>Executive</w:t>
            </w:r>
          </w:p>
          <w:p>
            <w:pPr>
              <w:pStyle w:val="TableParagraph"/>
              <w:numPr>
                <w:ilvl w:val="0"/>
                <w:numId w:val="1"/>
              </w:numPr>
              <w:tabs>
                <w:tab w:pos="1986" w:val="left" w:leader="none"/>
                <w:tab w:pos="1988" w:val="left" w:leader="none"/>
              </w:tabs>
              <w:spacing w:line="240" w:lineRule="auto" w:before="0" w:after="0"/>
              <w:ind w:left="1987" w:right="0" w:hanging="1881"/>
              <w:jc w:val="left"/>
              <w:rPr>
                <w:b/>
                <w:sz w:val="18"/>
              </w:rPr>
            </w:pPr>
            <w:r>
              <w:rPr>
                <w:b/>
                <w:sz w:val="18"/>
              </w:rPr>
              <w:t>Road Transport Industry Training</w:t>
            </w:r>
            <w:r>
              <w:rPr>
                <w:b/>
                <w:spacing w:val="-3"/>
                <w:sz w:val="18"/>
              </w:rPr>
              <w:t> </w:t>
            </w:r>
            <w:r>
              <w:rPr>
                <w:b/>
                <w:sz w:val="18"/>
              </w:rPr>
              <w:t>Board</w:t>
            </w:r>
          </w:p>
          <w:p>
            <w:pPr>
              <w:pStyle w:val="TableParagraph"/>
              <w:numPr>
                <w:ilvl w:val="0"/>
                <w:numId w:val="1"/>
              </w:numPr>
              <w:tabs>
                <w:tab w:pos="2036" w:val="left" w:leader="none"/>
                <w:tab w:pos="2037" w:val="left" w:leader="none"/>
              </w:tabs>
              <w:spacing w:line="240" w:lineRule="auto" w:before="0" w:after="0"/>
              <w:ind w:left="467" w:right="1591" w:hanging="360"/>
              <w:jc w:val="left"/>
              <w:rPr>
                <w:b/>
                <w:sz w:val="18"/>
              </w:rPr>
            </w:pPr>
            <w:r>
              <w:rPr/>
              <w:tab/>
            </w:r>
            <w:r>
              <w:rPr>
                <w:b/>
                <w:sz w:val="18"/>
              </w:rPr>
              <w:t>COVEY TIMCOM The Timber Packaging and</w:t>
            </w:r>
            <w:r>
              <w:rPr>
                <w:b/>
                <w:spacing w:val="-32"/>
                <w:sz w:val="18"/>
              </w:rPr>
              <w:t> </w:t>
            </w:r>
            <w:r>
              <w:rPr>
                <w:b/>
                <w:sz w:val="18"/>
              </w:rPr>
              <w:t>Pallet Confederation</w:t>
            </w:r>
          </w:p>
          <w:p>
            <w:pPr>
              <w:pStyle w:val="TableParagraph"/>
              <w:numPr>
                <w:ilvl w:val="0"/>
                <w:numId w:val="1"/>
              </w:numPr>
              <w:tabs>
                <w:tab w:pos="467" w:val="left" w:leader="none"/>
                <w:tab w:pos="468" w:val="left" w:leader="none"/>
              </w:tabs>
              <w:spacing w:line="240" w:lineRule="auto" w:before="0" w:after="0"/>
              <w:ind w:left="467" w:right="0" w:hanging="361"/>
              <w:jc w:val="left"/>
              <w:rPr>
                <w:b/>
                <w:sz w:val="18"/>
              </w:rPr>
            </w:pPr>
            <w:r>
              <w:rPr>
                <w:b/>
                <w:sz w:val="18"/>
              </w:rPr>
              <w:t>The Director - The Associate of Pallet</w:t>
            </w:r>
            <w:r>
              <w:rPr>
                <w:b/>
                <w:spacing w:val="-7"/>
                <w:sz w:val="18"/>
              </w:rPr>
              <w:t> </w:t>
            </w:r>
            <w:r>
              <w:rPr>
                <w:b/>
                <w:sz w:val="18"/>
              </w:rPr>
              <w:t>Networks</w:t>
            </w:r>
          </w:p>
        </w:tc>
      </w:tr>
      <w:tr>
        <w:trPr>
          <w:trHeight w:val="875" w:hRule="atLeast"/>
        </w:trPr>
        <w:tc>
          <w:tcPr>
            <w:tcW w:w="421" w:type="dxa"/>
          </w:tcPr>
          <w:p>
            <w:pPr>
              <w:pStyle w:val="TableParagraph"/>
              <w:rPr>
                <w:b/>
                <w:sz w:val="18"/>
              </w:rPr>
            </w:pPr>
            <w:r>
              <w:rPr>
                <w:b/>
                <w:sz w:val="18"/>
              </w:rPr>
              <w:t>1</w:t>
            </w:r>
          </w:p>
        </w:tc>
        <w:tc>
          <w:tcPr>
            <w:tcW w:w="8595" w:type="dxa"/>
          </w:tcPr>
          <w:p>
            <w:pPr>
              <w:pStyle w:val="TableParagraph"/>
              <w:rPr>
                <w:b/>
                <w:sz w:val="18"/>
              </w:rPr>
            </w:pPr>
            <w:r>
              <w:rPr>
                <w:b/>
                <w:sz w:val="18"/>
              </w:rPr>
              <w:t>CORONER</w:t>
            </w:r>
          </w:p>
          <w:p>
            <w:pPr>
              <w:pStyle w:val="TableParagraph"/>
              <w:ind w:left="0"/>
              <w:rPr>
                <w:sz w:val="18"/>
              </w:rPr>
            </w:pPr>
          </w:p>
          <w:p>
            <w:pPr>
              <w:pStyle w:val="TableParagraph"/>
              <w:rPr>
                <w:sz w:val="18"/>
              </w:rPr>
            </w:pPr>
            <w:r>
              <w:rPr>
                <w:sz w:val="18"/>
              </w:rPr>
              <w:t>I am Sarah WATSON, Assistant Coroner for the coroner area of North Yorkshire and York</w:t>
            </w:r>
          </w:p>
        </w:tc>
      </w:tr>
      <w:tr>
        <w:trPr>
          <w:trHeight w:val="1093" w:hRule="atLeast"/>
        </w:trPr>
        <w:tc>
          <w:tcPr>
            <w:tcW w:w="421" w:type="dxa"/>
          </w:tcPr>
          <w:p>
            <w:pPr>
              <w:pStyle w:val="TableParagraph"/>
              <w:rPr>
                <w:b/>
                <w:sz w:val="18"/>
              </w:rPr>
            </w:pPr>
            <w:r>
              <w:rPr>
                <w:b/>
                <w:sz w:val="18"/>
              </w:rPr>
              <w:t>2</w:t>
            </w:r>
          </w:p>
        </w:tc>
        <w:tc>
          <w:tcPr>
            <w:tcW w:w="8595" w:type="dxa"/>
          </w:tcPr>
          <w:p>
            <w:pPr>
              <w:pStyle w:val="TableParagraph"/>
              <w:rPr>
                <w:b/>
                <w:sz w:val="18"/>
              </w:rPr>
            </w:pPr>
            <w:r>
              <w:rPr>
                <w:b/>
                <w:sz w:val="18"/>
              </w:rPr>
              <w:t>CORONER’S LEGAL POWERS</w:t>
            </w:r>
          </w:p>
          <w:p>
            <w:pPr>
              <w:pStyle w:val="TableParagraph"/>
              <w:ind w:left="0"/>
              <w:rPr>
                <w:sz w:val="18"/>
              </w:rPr>
            </w:pPr>
          </w:p>
          <w:p>
            <w:pPr>
              <w:pStyle w:val="TableParagraph"/>
              <w:ind w:right="232"/>
              <w:rPr>
                <w:sz w:val="18"/>
              </w:rPr>
            </w:pPr>
            <w:r>
              <w:rPr>
                <w:sz w:val="18"/>
              </w:rPr>
              <w:t>I make this report under paragraph 7, Schedule 5, of the Coroners and Justice Act 2009 and regulations 28 and 29 of the Coroners (Investigations) Regulations 2013.</w:t>
            </w:r>
          </w:p>
        </w:tc>
      </w:tr>
      <w:tr>
        <w:trPr>
          <w:trHeight w:val="5031" w:hRule="atLeast"/>
        </w:trPr>
        <w:tc>
          <w:tcPr>
            <w:tcW w:w="421" w:type="dxa"/>
          </w:tcPr>
          <w:p>
            <w:pPr>
              <w:pStyle w:val="TableParagraph"/>
              <w:rPr>
                <w:b/>
                <w:sz w:val="18"/>
              </w:rPr>
            </w:pPr>
            <w:r>
              <w:rPr>
                <w:b/>
                <w:sz w:val="18"/>
              </w:rPr>
              <w:t>3</w:t>
            </w:r>
          </w:p>
        </w:tc>
        <w:tc>
          <w:tcPr>
            <w:tcW w:w="8595" w:type="dxa"/>
          </w:tcPr>
          <w:p>
            <w:pPr>
              <w:pStyle w:val="TableParagraph"/>
              <w:rPr>
                <w:b/>
                <w:sz w:val="18"/>
              </w:rPr>
            </w:pPr>
            <w:r>
              <w:rPr>
                <w:b/>
                <w:sz w:val="18"/>
              </w:rPr>
              <w:t>INVESTIGATION and INQUEST</w:t>
            </w:r>
          </w:p>
          <w:p>
            <w:pPr>
              <w:pStyle w:val="TableParagraph"/>
              <w:ind w:left="0"/>
              <w:rPr>
                <w:sz w:val="18"/>
              </w:rPr>
            </w:pPr>
          </w:p>
          <w:p>
            <w:pPr>
              <w:pStyle w:val="TableParagraph"/>
              <w:rPr>
                <w:sz w:val="18"/>
              </w:rPr>
            </w:pPr>
            <w:r>
              <w:rPr>
                <w:sz w:val="18"/>
              </w:rPr>
              <w:t>On 23 September 2020 I commenced an investigation into the death of John Anthony IBBOTSON aged 57. The investigation concluded at the end of the inquest on 07 February 2023. The conclusion of the inquest was that:</w:t>
            </w:r>
          </w:p>
          <w:p>
            <w:pPr>
              <w:pStyle w:val="TableParagraph"/>
              <w:spacing w:before="12"/>
              <w:ind w:left="0"/>
              <w:rPr>
                <w:sz w:val="17"/>
              </w:rPr>
            </w:pPr>
          </w:p>
          <w:p>
            <w:pPr>
              <w:pStyle w:val="TableParagraph"/>
              <w:rPr>
                <w:sz w:val="18"/>
              </w:rPr>
            </w:pPr>
            <w:r>
              <w:rPr>
                <w:sz w:val="18"/>
              </w:rPr>
              <w:t>Mr John Anthony Ibbotson was 57 years of age who, at the time of his death worked as a warehouse operative at Systagenix Wound Management Ltd, Airebank Mills, Gargrave, Skipton BD23 3RX.</w:t>
            </w:r>
          </w:p>
          <w:p>
            <w:pPr>
              <w:pStyle w:val="TableParagraph"/>
              <w:rPr>
                <w:sz w:val="18"/>
              </w:rPr>
            </w:pPr>
            <w:r>
              <w:rPr>
                <w:sz w:val="18"/>
              </w:rPr>
              <w:t>He arrived at work at around 06:30 am on Monday 21st September 2020. Sometime thereafter his colleagues went looking for him as he had not been seen for a while.</w:t>
            </w:r>
          </w:p>
          <w:p>
            <w:pPr>
              <w:pStyle w:val="TableParagraph"/>
              <w:rPr>
                <w:sz w:val="18"/>
              </w:rPr>
            </w:pPr>
            <w:r>
              <w:rPr>
                <w:sz w:val="18"/>
              </w:rPr>
              <w:t>He was found in the raw materials storage, bulk storage area (RMGJ05), this was an area in which he was authorised to work.</w:t>
            </w:r>
          </w:p>
          <w:p>
            <w:pPr>
              <w:pStyle w:val="TableParagraph"/>
              <w:ind w:right="232"/>
              <w:rPr>
                <w:sz w:val="18"/>
              </w:rPr>
            </w:pPr>
            <w:r>
              <w:rPr>
                <w:sz w:val="18"/>
              </w:rPr>
              <w:t>He was a trained warehouse operative with up-to-date forklift truck training. He was known to be safety conscious and not a risk taker.</w:t>
            </w:r>
          </w:p>
          <w:p>
            <w:pPr>
              <w:pStyle w:val="TableParagraph"/>
              <w:ind w:right="130"/>
              <w:jc w:val="both"/>
              <w:rPr>
                <w:sz w:val="18"/>
              </w:rPr>
            </w:pPr>
            <w:r>
              <w:rPr>
                <w:sz w:val="18"/>
              </w:rPr>
              <w:t>Mr Ibbotson was found in a sitting position, leaning forward with a pallet on top of his back. The incident was reported to the police at 08:38. The paramedics pronounced lift extinct at 08:53.</w:t>
            </w:r>
          </w:p>
          <w:p>
            <w:pPr>
              <w:pStyle w:val="TableParagraph"/>
              <w:ind w:right="85"/>
              <w:rPr>
                <w:sz w:val="18"/>
              </w:rPr>
            </w:pPr>
            <w:r>
              <w:rPr>
                <w:sz w:val="18"/>
              </w:rPr>
              <w:t>On balance of probability, it is more likely than not that the pallets were double stacked and not in the pyramid/brick formation, but likely that one pallet was stacked directly on top of the other.</w:t>
            </w:r>
          </w:p>
          <w:p>
            <w:pPr>
              <w:pStyle w:val="TableParagraph"/>
              <w:rPr>
                <w:sz w:val="18"/>
              </w:rPr>
            </w:pPr>
            <w:r>
              <w:rPr>
                <w:sz w:val="18"/>
              </w:rPr>
              <w:t>It is unclear what caused the pallet to fall.</w:t>
            </w:r>
          </w:p>
        </w:tc>
      </w:tr>
      <w:tr>
        <w:trPr>
          <w:trHeight w:val="875" w:hRule="atLeast"/>
        </w:trPr>
        <w:tc>
          <w:tcPr>
            <w:tcW w:w="421" w:type="dxa"/>
          </w:tcPr>
          <w:p>
            <w:pPr>
              <w:pStyle w:val="TableParagraph"/>
              <w:rPr>
                <w:b/>
                <w:sz w:val="18"/>
              </w:rPr>
            </w:pPr>
            <w:r>
              <w:rPr>
                <w:b/>
                <w:sz w:val="18"/>
              </w:rPr>
              <w:t>4</w:t>
            </w:r>
          </w:p>
        </w:tc>
        <w:tc>
          <w:tcPr>
            <w:tcW w:w="8595" w:type="dxa"/>
          </w:tcPr>
          <w:p>
            <w:pPr>
              <w:pStyle w:val="TableParagraph"/>
              <w:rPr>
                <w:b/>
                <w:sz w:val="18"/>
              </w:rPr>
            </w:pPr>
            <w:r>
              <w:rPr>
                <w:b/>
                <w:sz w:val="18"/>
              </w:rPr>
              <w:t>CIRCUMSTANCES OF THE DEATH</w:t>
            </w:r>
          </w:p>
        </w:tc>
      </w:tr>
      <w:tr>
        <w:trPr>
          <w:trHeight w:val="1750" w:hRule="atLeast"/>
        </w:trPr>
        <w:tc>
          <w:tcPr>
            <w:tcW w:w="421" w:type="dxa"/>
          </w:tcPr>
          <w:p>
            <w:pPr>
              <w:pStyle w:val="TableParagraph"/>
              <w:rPr>
                <w:b/>
                <w:sz w:val="18"/>
              </w:rPr>
            </w:pPr>
            <w:r>
              <w:rPr>
                <w:b/>
                <w:sz w:val="18"/>
              </w:rPr>
              <w:t>5</w:t>
            </w:r>
          </w:p>
        </w:tc>
        <w:tc>
          <w:tcPr>
            <w:tcW w:w="8595" w:type="dxa"/>
          </w:tcPr>
          <w:p>
            <w:pPr>
              <w:pStyle w:val="TableParagraph"/>
              <w:rPr>
                <w:b/>
                <w:sz w:val="18"/>
              </w:rPr>
            </w:pPr>
            <w:r>
              <w:rPr>
                <w:b/>
                <w:sz w:val="18"/>
              </w:rPr>
              <w:t>CORONER’S CONCERNS</w:t>
            </w:r>
          </w:p>
          <w:p>
            <w:pPr>
              <w:pStyle w:val="TableParagraph"/>
              <w:ind w:left="0"/>
              <w:rPr>
                <w:sz w:val="18"/>
              </w:rPr>
            </w:pPr>
          </w:p>
          <w:p>
            <w:pPr>
              <w:pStyle w:val="TableParagraph"/>
              <w:ind w:right="85"/>
              <w:rPr>
                <w:sz w:val="18"/>
              </w:rPr>
            </w:pPr>
            <w:r>
              <w:rPr>
                <w:sz w:val="18"/>
              </w:rPr>
              <w:t>During the course of the investigation my inquiries revealed matters giving rise to concern. In my opinion there is a risk that future deaths could occur unless action is taken. In the circumstances it is my statutory duty to report to you.</w:t>
            </w:r>
          </w:p>
          <w:p>
            <w:pPr>
              <w:pStyle w:val="TableParagraph"/>
              <w:spacing w:before="10"/>
              <w:ind w:left="0"/>
              <w:rPr>
                <w:sz w:val="17"/>
              </w:rPr>
            </w:pPr>
          </w:p>
          <w:p>
            <w:pPr>
              <w:pStyle w:val="TableParagraph"/>
              <w:spacing w:line="220" w:lineRule="atLeast" w:before="1"/>
              <w:ind w:right="4354"/>
              <w:rPr>
                <w:sz w:val="18"/>
              </w:rPr>
            </w:pPr>
            <w:r>
              <w:rPr>
                <w:sz w:val="18"/>
              </w:rPr>
              <w:t>The </w:t>
            </w:r>
            <w:r>
              <w:rPr>
                <w:b/>
                <w:sz w:val="18"/>
              </w:rPr>
              <w:t>MATTERS OF CONCERN </w:t>
            </w:r>
            <w:r>
              <w:rPr>
                <w:sz w:val="18"/>
              </w:rPr>
              <w:t>are as follows: (brief summary of matters of concern)</w:t>
            </w:r>
          </w:p>
        </w:tc>
      </w:tr>
    </w:tbl>
    <w:p>
      <w:pPr>
        <w:spacing w:after="0" w:line="220" w:lineRule="atLeast"/>
        <w:rPr>
          <w:sz w:val="18"/>
        </w:rPr>
        <w:sectPr>
          <w:headerReference w:type="default" r:id="rId5"/>
          <w:footerReference w:type="default" r:id="rId6"/>
          <w:type w:val="continuous"/>
          <w:pgSz w:w="11910" w:h="16840"/>
          <w:pgMar w:header="284" w:footer="361" w:top="2180" w:bottom="560" w:left="1160" w:right="150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1"/>
        <w:gridCol w:w="88"/>
        <w:gridCol w:w="1530"/>
        <w:gridCol w:w="6976"/>
      </w:tblGrid>
      <w:tr>
        <w:trPr>
          <w:trHeight w:val="8750" w:hRule="atLeast"/>
        </w:trPr>
        <w:tc>
          <w:tcPr>
            <w:tcW w:w="421" w:type="dxa"/>
          </w:tcPr>
          <w:p>
            <w:pPr>
              <w:pStyle w:val="TableParagraph"/>
              <w:ind w:left="0"/>
              <w:rPr>
                <w:rFonts w:ascii="Times New Roman"/>
                <w:sz w:val="16"/>
              </w:rPr>
            </w:pPr>
          </w:p>
        </w:tc>
        <w:tc>
          <w:tcPr>
            <w:tcW w:w="8594" w:type="dxa"/>
            <w:gridSpan w:val="3"/>
          </w:tcPr>
          <w:p>
            <w:pPr>
              <w:pStyle w:val="TableParagraph"/>
              <w:spacing w:before="12"/>
              <w:ind w:left="0"/>
              <w:rPr>
                <w:sz w:val="17"/>
              </w:rPr>
            </w:pPr>
          </w:p>
          <w:p>
            <w:pPr>
              <w:pStyle w:val="TableParagraph"/>
              <w:numPr>
                <w:ilvl w:val="0"/>
                <w:numId w:val="2"/>
              </w:numPr>
              <w:tabs>
                <w:tab w:pos="827" w:val="left" w:leader="none"/>
                <w:tab w:pos="828" w:val="left" w:leader="none"/>
              </w:tabs>
              <w:spacing w:line="240" w:lineRule="auto" w:before="0" w:after="0"/>
              <w:ind w:left="107" w:right="490" w:firstLine="0"/>
              <w:jc w:val="left"/>
              <w:rPr>
                <w:sz w:val="18"/>
              </w:rPr>
            </w:pPr>
            <w:r>
              <w:rPr>
                <w:sz w:val="18"/>
              </w:rPr>
              <w:t>There was a lack of awareness of the content of the relevant British Standards, European</w:t>
            </w:r>
            <w:r>
              <w:rPr>
                <w:spacing w:val="-5"/>
                <w:sz w:val="18"/>
              </w:rPr>
              <w:t> </w:t>
            </w:r>
            <w:r>
              <w:rPr>
                <w:sz w:val="18"/>
              </w:rPr>
              <w:t>Standards</w:t>
            </w:r>
            <w:r>
              <w:rPr>
                <w:spacing w:val="-5"/>
                <w:sz w:val="18"/>
              </w:rPr>
              <w:t> </w:t>
            </w:r>
            <w:r>
              <w:rPr>
                <w:sz w:val="18"/>
              </w:rPr>
              <w:t>and</w:t>
            </w:r>
            <w:r>
              <w:rPr>
                <w:spacing w:val="-5"/>
                <w:sz w:val="18"/>
              </w:rPr>
              <w:t> </w:t>
            </w:r>
            <w:r>
              <w:rPr>
                <w:sz w:val="18"/>
              </w:rPr>
              <w:t>International</w:t>
            </w:r>
            <w:r>
              <w:rPr>
                <w:spacing w:val="-4"/>
                <w:sz w:val="18"/>
              </w:rPr>
              <w:t> </w:t>
            </w:r>
            <w:r>
              <w:rPr>
                <w:sz w:val="18"/>
              </w:rPr>
              <w:t>Standards</w:t>
            </w:r>
            <w:r>
              <w:rPr>
                <w:spacing w:val="-5"/>
                <w:sz w:val="18"/>
              </w:rPr>
              <w:t> </w:t>
            </w:r>
            <w:r>
              <w:rPr>
                <w:sz w:val="18"/>
              </w:rPr>
              <w:t>as</w:t>
            </w:r>
            <w:r>
              <w:rPr>
                <w:spacing w:val="-5"/>
                <w:sz w:val="18"/>
              </w:rPr>
              <w:t> </w:t>
            </w:r>
            <w:r>
              <w:rPr>
                <w:sz w:val="18"/>
              </w:rPr>
              <w:t>they</w:t>
            </w:r>
            <w:r>
              <w:rPr>
                <w:spacing w:val="-5"/>
                <w:sz w:val="18"/>
              </w:rPr>
              <w:t> </w:t>
            </w:r>
            <w:r>
              <w:rPr>
                <w:sz w:val="18"/>
              </w:rPr>
              <w:t>relate</w:t>
            </w:r>
            <w:r>
              <w:rPr>
                <w:spacing w:val="-5"/>
                <w:sz w:val="18"/>
              </w:rPr>
              <w:t> </w:t>
            </w:r>
            <w:r>
              <w:rPr>
                <w:sz w:val="18"/>
              </w:rPr>
              <w:t>to</w:t>
            </w:r>
            <w:r>
              <w:rPr>
                <w:spacing w:val="-5"/>
                <w:sz w:val="18"/>
              </w:rPr>
              <w:t> </w:t>
            </w:r>
            <w:r>
              <w:rPr>
                <w:sz w:val="18"/>
              </w:rPr>
              <w:t>the</w:t>
            </w:r>
            <w:r>
              <w:rPr>
                <w:spacing w:val="-4"/>
                <w:sz w:val="18"/>
              </w:rPr>
              <w:t> </w:t>
            </w:r>
            <w:r>
              <w:rPr>
                <w:sz w:val="18"/>
              </w:rPr>
              <w:t>stacking</w:t>
            </w:r>
            <w:r>
              <w:rPr>
                <w:spacing w:val="-5"/>
                <w:sz w:val="18"/>
              </w:rPr>
              <w:t> </w:t>
            </w:r>
            <w:r>
              <w:rPr>
                <w:sz w:val="18"/>
              </w:rPr>
              <w:t>of</w:t>
            </w:r>
            <w:r>
              <w:rPr>
                <w:spacing w:val="-6"/>
                <w:sz w:val="18"/>
              </w:rPr>
              <w:t> </w:t>
            </w:r>
            <w:r>
              <w:rPr>
                <w:sz w:val="18"/>
              </w:rPr>
              <w:t>single deck</w:t>
            </w:r>
            <w:r>
              <w:rPr>
                <w:spacing w:val="-1"/>
                <w:sz w:val="18"/>
              </w:rPr>
              <w:t> </w:t>
            </w:r>
            <w:r>
              <w:rPr>
                <w:sz w:val="18"/>
              </w:rPr>
              <w:t>pallets.</w:t>
            </w:r>
          </w:p>
          <w:p>
            <w:pPr>
              <w:pStyle w:val="TableParagraph"/>
              <w:numPr>
                <w:ilvl w:val="0"/>
                <w:numId w:val="2"/>
              </w:numPr>
              <w:tabs>
                <w:tab w:pos="827" w:val="left" w:leader="none"/>
                <w:tab w:pos="828" w:val="left" w:leader="none"/>
              </w:tabs>
              <w:spacing w:line="240" w:lineRule="auto" w:before="0" w:after="0"/>
              <w:ind w:left="107" w:right="480" w:firstLine="0"/>
              <w:jc w:val="left"/>
              <w:rPr>
                <w:sz w:val="18"/>
              </w:rPr>
            </w:pPr>
            <w:r>
              <w:rPr>
                <w:sz w:val="18"/>
              </w:rPr>
              <w:t>The</w:t>
            </w:r>
            <w:r>
              <w:rPr>
                <w:spacing w:val="-4"/>
                <w:sz w:val="18"/>
              </w:rPr>
              <w:t> </w:t>
            </w:r>
            <w:r>
              <w:rPr>
                <w:sz w:val="18"/>
              </w:rPr>
              <w:t>lack</w:t>
            </w:r>
            <w:r>
              <w:rPr>
                <w:spacing w:val="-3"/>
                <w:sz w:val="18"/>
              </w:rPr>
              <w:t> </w:t>
            </w:r>
            <w:r>
              <w:rPr>
                <w:sz w:val="18"/>
              </w:rPr>
              <w:t>of</w:t>
            </w:r>
            <w:r>
              <w:rPr>
                <w:spacing w:val="-5"/>
                <w:sz w:val="18"/>
              </w:rPr>
              <w:t> </w:t>
            </w:r>
            <w:r>
              <w:rPr>
                <w:sz w:val="18"/>
              </w:rPr>
              <w:t>information</w:t>
            </w:r>
            <w:r>
              <w:rPr>
                <w:spacing w:val="-3"/>
                <w:sz w:val="18"/>
              </w:rPr>
              <w:t> </w:t>
            </w:r>
            <w:r>
              <w:rPr>
                <w:sz w:val="18"/>
              </w:rPr>
              <w:t>that</w:t>
            </w:r>
            <w:r>
              <w:rPr>
                <w:spacing w:val="-3"/>
                <w:sz w:val="18"/>
              </w:rPr>
              <w:t> </w:t>
            </w:r>
            <w:r>
              <w:rPr>
                <w:sz w:val="18"/>
              </w:rPr>
              <w:t>is</w:t>
            </w:r>
            <w:r>
              <w:rPr>
                <w:spacing w:val="-4"/>
                <w:sz w:val="18"/>
              </w:rPr>
              <w:t> </w:t>
            </w:r>
            <w:r>
              <w:rPr>
                <w:sz w:val="18"/>
              </w:rPr>
              <w:t>presently</w:t>
            </w:r>
            <w:r>
              <w:rPr>
                <w:spacing w:val="-3"/>
                <w:sz w:val="18"/>
              </w:rPr>
              <w:t> </w:t>
            </w:r>
            <w:r>
              <w:rPr>
                <w:sz w:val="18"/>
              </w:rPr>
              <w:t>passed</w:t>
            </w:r>
            <w:r>
              <w:rPr>
                <w:spacing w:val="-4"/>
                <w:sz w:val="18"/>
              </w:rPr>
              <w:t> </w:t>
            </w:r>
            <w:r>
              <w:rPr>
                <w:sz w:val="18"/>
              </w:rPr>
              <w:t>down</w:t>
            </w:r>
            <w:r>
              <w:rPr>
                <w:spacing w:val="-3"/>
                <w:sz w:val="18"/>
              </w:rPr>
              <w:t> </w:t>
            </w:r>
            <w:r>
              <w:rPr>
                <w:sz w:val="18"/>
              </w:rPr>
              <w:t>the</w:t>
            </w:r>
            <w:r>
              <w:rPr>
                <w:spacing w:val="-4"/>
                <w:sz w:val="18"/>
              </w:rPr>
              <w:t> </w:t>
            </w:r>
            <w:r>
              <w:rPr>
                <w:sz w:val="18"/>
              </w:rPr>
              <w:t>supply</w:t>
            </w:r>
            <w:r>
              <w:rPr>
                <w:spacing w:val="-3"/>
                <w:sz w:val="18"/>
              </w:rPr>
              <w:t> </w:t>
            </w:r>
            <w:r>
              <w:rPr>
                <w:sz w:val="18"/>
              </w:rPr>
              <w:t>chain</w:t>
            </w:r>
            <w:r>
              <w:rPr>
                <w:spacing w:val="-4"/>
                <w:sz w:val="18"/>
              </w:rPr>
              <w:t> </w:t>
            </w:r>
            <w:r>
              <w:rPr>
                <w:sz w:val="18"/>
              </w:rPr>
              <w:t>as</w:t>
            </w:r>
            <w:r>
              <w:rPr>
                <w:spacing w:val="-3"/>
                <w:sz w:val="18"/>
              </w:rPr>
              <w:t> </w:t>
            </w:r>
            <w:r>
              <w:rPr>
                <w:sz w:val="18"/>
              </w:rPr>
              <w:t>to</w:t>
            </w:r>
            <w:r>
              <w:rPr>
                <w:spacing w:val="-4"/>
                <w:sz w:val="18"/>
              </w:rPr>
              <w:t> </w:t>
            </w:r>
            <w:r>
              <w:rPr>
                <w:sz w:val="18"/>
              </w:rPr>
              <w:t>the supply and use of the ‘single deck’</w:t>
            </w:r>
            <w:r>
              <w:rPr>
                <w:spacing w:val="-3"/>
                <w:sz w:val="18"/>
              </w:rPr>
              <w:t> </w:t>
            </w:r>
            <w:r>
              <w:rPr>
                <w:sz w:val="18"/>
              </w:rPr>
              <w:t>pallets.</w:t>
            </w:r>
          </w:p>
          <w:p>
            <w:pPr>
              <w:pStyle w:val="TableParagraph"/>
              <w:spacing w:before="12"/>
              <w:ind w:left="0"/>
              <w:rPr>
                <w:sz w:val="17"/>
              </w:rPr>
            </w:pPr>
          </w:p>
          <w:p>
            <w:pPr>
              <w:pStyle w:val="TableParagraph"/>
              <w:rPr>
                <w:sz w:val="18"/>
              </w:rPr>
            </w:pPr>
            <w:r>
              <w:rPr>
                <w:sz w:val="18"/>
              </w:rPr>
              <w:t>Awareness of British</w:t>
            </w:r>
            <w:r>
              <w:rPr>
                <w:spacing w:val="-25"/>
                <w:sz w:val="18"/>
              </w:rPr>
              <w:t> </w:t>
            </w:r>
            <w:r>
              <w:rPr>
                <w:sz w:val="18"/>
              </w:rPr>
              <w:t>standards</w:t>
            </w:r>
          </w:p>
          <w:p>
            <w:pPr>
              <w:pStyle w:val="TableParagraph"/>
              <w:ind w:right="392"/>
              <w:rPr>
                <w:sz w:val="18"/>
              </w:rPr>
            </w:pPr>
            <w:r>
              <w:rPr>
                <w:sz w:val="18"/>
              </w:rPr>
              <w:t>BS EN ISO 445:2013 – Pallets for material handling. Vocabulary provides at 3.2 a description of a single deck flat pallet as one where the lower bearing surface s less than the percentage specified in ISO 6780.</w:t>
            </w:r>
          </w:p>
          <w:p>
            <w:pPr>
              <w:pStyle w:val="TableParagraph"/>
              <w:ind w:right="151"/>
              <w:jc w:val="both"/>
              <w:rPr>
                <w:sz w:val="18"/>
              </w:rPr>
            </w:pPr>
            <w:r>
              <w:rPr>
                <w:sz w:val="18"/>
              </w:rPr>
              <w:t>BS ISO 6780:2003 Flat pallets for intercontinental materials handling. Principal dimensions and tolerances – states at 4.6 that the minimum bearing surface requirement for all pallets shall be 35% of the nominal bottom deck plan dimension (pallet footprint).</w:t>
            </w:r>
          </w:p>
          <w:p>
            <w:pPr>
              <w:pStyle w:val="TableParagraph"/>
              <w:rPr>
                <w:sz w:val="18"/>
              </w:rPr>
            </w:pPr>
            <w:r>
              <w:rPr>
                <w:sz w:val="18"/>
              </w:rPr>
              <w:t>BS EN 13382:2002 Incorporating Corrigendum No1 Flat Pallets for material handling. Principal Dimensions specifically refers to stacking of single-deck pallets. At 4.6.2 it states: Single deck pallets shall not be stacked.</w:t>
            </w:r>
          </w:p>
          <w:p>
            <w:pPr>
              <w:pStyle w:val="TableParagraph"/>
              <w:spacing w:before="11"/>
              <w:ind w:left="0"/>
              <w:rPr>
                <w:sz w:val="17"/>
              </w:rPr>
            </w:pPr>
          </w:p>
          <w:p>
            <w:pPr>
              <w:pStyle w:val="TableParagraph"/>
              <w:ind w:right="105"/>
              <w:rPr>
                <w:sz w:val="18"/>
              </w:rPr>
            </w:pPr>
            <w:r>
              <w:rPr>
                <w:sz w:val="18"/>
              </w:rPr>
              <w:t>The Court received evidence that the standards are not freely available and instead a fee is payable to the British Standards Institute in order to access the safety information that the HSE includes in the reference section of Guidance Note PM15 (Fourth Edition). The standards are not legally binding but they are relied upon by the HSE as evidence of best practice.</w:t>
            </w:r>
          </w:p>
          <w:p>
            <w:pPr>
              <w:pStyle w:val="TableParagraph"/>
              <w:ind w:left="0"/>
              <w:rPr>
                <w:sz w:val="18"/>
              </w:rPr>
            </w:pPr>
          </w:p>
          <w:p>
            <w:pPr>
              <w:pStyle w:val="TableParagraph"/>
              <w:ind w:right="468"/>
              <w:jc w:val="both"/>
              <w:rPr>
                <w:sz w:val="18"/>
              </w:rPr>
            </w:pPr>
            <w:r>
              <w:rPr>
                <w:sz w:val="18"/>
              </w:rPr>
              <w:t>The HSE should consider increasing awareness of the content of the relevant standards. The HSE should consider updating PM15 to include specific reference to the parts of the relevant standards which contain the safety related information. In particular, the parts that define a single-deck pallet and the suggested prohibition on stacking.</w:t>
            </w:r>
          </w:p>
          <w:p>
            <w:pPr>
              <w:pStyle w:val="TableParagraph"/>
              <w:ind w:left="0"/>
              <w:rPr>
                <w:sz w:val="18"/>
              </w:rPr>
            </w:pPr>
          </w:p>
          <w:p>
            <w:pPr>
              <w:pStyle w:val="TableParagraph"/>
              <w:rPr>
                <w:sz w:val="18"/>
              </w:rPr>
            </w:pPr>
            <w:r>
              <w:rPr>
                <w:sz w:val="18"/>
              </w:rPr>
              <w:t>Training</w:t>
            </w:r>
          </w:p>
          <w:p>
            <w:pPr>
              <w:pStyle w:val="TableParagraph"/>
              <w:rPr>
                <w:sz w:val="18"/>
              </w:rPr>
            </w:pPr>
            <w:r>
              <w:rPr>
                <w:sz w:val="18"/>
              </w:rPr>
              <w:t>The Road Transport Industry Training Board should consider including the prohibition on stacking single deck pallets as part of the curriculum.</w:t>
            </w:r>
          </w:p>
          <w:p>
            <w:pPr>
              <w:pStyle w:val="TableParagraph"/>
              <w:ind w:left="0"/>
              <w:rPr>
                <w:sz w:val="18"/>
              </w:rPr>
            </w:pPr>
          </w:p>
          <w:p>
            <w:pPr>
              <w:pStyle w:val="TableParagraph"/>
              <w:jc w:val="both"/>
              <w:rPr>
                <w:sz w:val="18"/>
              </w:rPr>
            </w:pPr>
            <w:r>
              <w:rPr>
                <w:sz w:val="18"/>
              </w:rPr>
              <w:t>Single deck pallets</w:t>
            </w:r>
          </w:p>
          <w:p>
            <w:pPr>
              <w:pStyle w:val="TableParagraph"/>
              <w:ind w:right="475"/>
              <w:jc w:val="both"/>
              <w:rPr>
                <w:sz w:val="18"/>
              </w:rPr>
            </w:pPr>
            <w:r>
              <w:rPr>
                <w:sz w:val="18"/>
              </w:rPr>
              <w:t>Pallets</w:t>
            </w:r>
            <w:r>
              <w:rPr>
                <w:spacing w:val="-4"/>
                <w:sz w:val="18"/>
              </w:rPr>
              <w:t> </w:t>
            </w:r>
            <w:r>
              <w:rPr>
                <w:sz w:val="18"/>
              </w:rPr>
              <w:t>are</w:t>
            </w:r>
            <w:r>
              <w:rPr>
                <w:spacing w:val="-4"/>
                <w:sz w:val="18"/>
              </w:rPr>
              <w:t> </w:t>
            </w:r>
            <w:r>
              <w:rPr>
                <w:sz w:val="18"/>
              </w:rPr>
              <w:t>not</w:t>
            </w:r>
            <w:r>
              <w:rPr>
                <w:spacing w:val="-4"/>
                <w:sz w:val="18"/>
              </w:rPr>
              <w:t> </w:t>
            </w:r>
            <w:r>
              <w:rPr>
                <w:sz w:val="18"/>
              </w:rPr>
              <w:t>currently</w:t>
            </w:r>
            <w:r>
              <w:rPr>
                <w:spacing w:val="-4"/>
                <w:sz w:val="18"/>
              </w:rPr>
              <w:t> </w:t>
            </w:r>
            <w:r>
              <w:rPr>
                <w:sz w:val="18"/>
              </w:rPr>
              <w:t>labelled</w:t>
            </w:r>
            <w:r>
              <w:rPr>
                <w:spacing w:val="-3"/>
                <w:sz w:val="18"/>
              </w:rPr>
              <w:t> </w:t>
            </w:r>
            <w:r>
              <w:rPr>
                <w:sz w:val="18"/>
              </w:rPr>
              <w:t>to</w:t>
            </w:r>
            <w:r>
              <w:rPr>
                <w:spacing w:val="-4"/>
                <w:sz w:val="18"/>
              </w:rPr>
              <w:t> </w:t>
            </w:r>
            <w:r>
              <w:rPr>
                <w:sz w:val="18"/>
              </w:rPr>
              <w:t>indicate</w:t>
            </w:r>
            <w:r>
              <w:rPr>
                <w:spacing w:val="-4"/>
                <w:sz w:val="18"/>
              </w:rPr>
              <w:t> </w:t>
            </w:r>
            <w:r>
              <w:rPr>
                <w:sz w:val="18"/>
              </w:rPr>
              <w:t>whether</w:t>
            </w:r>
            <w:r>
              <w:rPr>
                <w:spacing w:val="-4"/>
                <w:sz w:val="18"/>
              </w:rPr>
              <w:t> </w:t>
            </w:r>
            <w:r>
              <w:rPr>
                <w:sz w:val="18"/>
              </w:rPr>
              <w:t>they</w:t>
            </w:r>
            <w:r>
              <w:rPr>
                <w:spacing w:val="-4"/>
                <w:sz w:val="18"/>
              </w:rPr>
              <w:t> </w:t>
            </w:r>
            <w:r>
              <w:rPr>
                <w:sz w:val="18"/>
              </w:rPr>
              <w:t>should</w:t>
            </w:r>
            <w:r>
              <w:rPr>
                <w:spacing w:val="-3"/>
                <w:sz w:val="18"/>
              </w:rPr>
              <w:t> </w:t>
            </w:r>
            <w:r>
              <w:rPr>
                <w:sz w:val="18"/>
              </w:rPr>
              <w:t>be</w:t>
            </w:r>
            <w:r>
              <w:rPr>
                <w:spacing w:val="-4"/>
                <w:sz w:val="18"/>
              </w:rPr>
              <w:t> </w:t>
            </w:r>
            <w:r>
              <w:rPr>
                <w:sz w:val="18"/>
              </w:rPr>
              <w:t>stacked</w:t>
            </w:r>
            <w:r>
              <w:rPr>
                <w:spacing w:val="-4"/>
                <w:sz w:val="18"/>
              </w:rPr>
              <w:t> </w:t>
            </w:r>
            <w:r>
              <w:rPr>
                <w:sz w:val="18"/>
              </w:rPr>
              <w:t>as</w:t>
            </w:r>
            <w:r>
              <w:rPr>
                <w:spacing w:val="-4"/>
                <w:sz w:val="18"/>
              </w:rPr>
              <w:t> </w:t>
            </w:r>
            <w:r>
              <w:rPr>
                <w:sz w:val="18"/>
              </w:rPr>
              <w:t>a</w:t>
            </w:r>
            <w:r>
              <w:rPr>
                <w:spacing w:val="-4"/>
                <w:sz w:val="18"/>
              </w:rPr>
              <w:t> </w:t>
            </w:r>
            <w:r>
              <w:rPr>
                <w:sz w:val="18"/>
              </w:rPr>
              <w:t>single- deck</w:t>
            </w:r>
            <w:r>
              <w:rPr>
                <w:spacing w:val="-1"/>
                <w:sz w:val="18"/>
              </w:rPr>
              <w:t> </w:t>
            </w:r>
            <w:r>
              <w:rPr>
                <w:sz w:val="18"/>
              </w:rPr>
              <w:t>pallet.</w:t>
            </w:r>
          </w:p>
          <w:p>
            <w:pPr>
              <w:pStyle w:val="TableParagraph"/>
              <w:ind w:left="0"/>
              <w:rPr>
                <w:sz w:val="18"/>
              </w:rPr>
            </w:pPr>
          </w:p>
          <w:p>
            <w:pPr>
              <w:pStyle w:val="TableParagraph"/>
              <w:rPr>
                <w:sz w:val="18"/>
              </w:rPr>
            </w:pPr>
            <w:r>
              <w:rPr>
                <w:sz w:val="18"/>
              </w:rPr>
              <w:t>TIMCOM/The Association of Pallet Networks should consider introducing a standardised system to enable easy identification of single deck pallets.</w:t>
            </w:r>
          </w:p>
        </w:tc>
      </w:tr>
      <w:tr>
        <w:trPr>
          <w:trHeight w:val="1093" w:hRule="atLeast"/>
        </w:trPr>
        <w:tc>
          <w:tcPr>
            <w:tcW w:w="421" w:type="dxa"/>
          </w:tcPr>
          <w:p>
            <w:pPr>
              <w:pStyle w:val="TableParagraph"/>
              <w:rPr>
                <w:b/>
                <w:sz w:val="18"/>
              </w:rPr>
            </w:pPr>
            <w:r>
              <w:rPr>
                <w:b/>
                <w:sz w:val="18"/>
              </w:rPr>
              <w:t>6</w:t>
            </w:r>
          </w:p>
        </w:tc>
        <w:tc>
          <w:tcPr>
            <w:tcW w:w="8594" w:type="dxa"/>
            <w:gridSpan w:val="3"/>
          </w:tcPr>
          <w:p>
            <w:pPr>
              <w:pStyle w:val="TableParagraph"/>
              <w:rPr>
                <w:b/>
                <w:sz w:val="18"/>
              </w:rPr>
            </w:pPr>
            <w:r>
              <w:rPr>
                <w:b/>
                <w:sz w:val="18"/>
              </w:rPr>
              <w:t>ACTION SHOULD BE TAKEN</w:t>
            </w:r>
          </w:p>
          <w:p>
            <w:pPr>
              <w:pStyle w:val="TableParagraph"/>
              <w:ind w:left="0"/>
              <w:rPr>
                <w:sz w:val="18"/>
              </w:rPr>
            </w:pPr>
          </w:p>
          <w:p>
            <w:pPr>
              <w:pStyle w:val="TableParagraph"/>
              <w:ind w:right="392"/>
              <w:rPr>
                <w:sz w:val="18"/>
              </w:rPr>
            </w:pPr>
            <w:r>
              <w:rPr>
                <w:sz w:val="18"/>
              </w:rPr>
              <w:t>In my opinion action should be taken to prevent future deaths and I believe you (and/or your organisation) have the power to take such action.</w:t>
            </w:r>
          </w:p>
        </w:tc>
      </w:tr>
      <w:tr>
        <w:trPr>
          <w:trHeight w:val="1531" w:hRule="atLeast"/>
        </w:trPr>
        <w:tc>
          <w:tcPr>
            <w:tcW w:w="421" w:type="dxa"/>
          </w:tcPr>
          <w:p>
            <w:pPr>
              <w:pStyle w:val="TableParagraph"/>
              <w:rPr>
                <w:b/>
                <w:sz w:val="18"/>
              </w:rPr>
            </w:pPr>
            <w:r>
              <w:rPr>
                <w:b/>
                <w:sz w:val="18"/>
              </w:rPr>
              <w:t>7</w:t>
            </w:r>
          </w:p>
        </w:tc>
        <w:tc>
          <w:tcPr>
            <w:tcW w:w="8594" w:type="dxa"/>
            <w:gridSpan w:val="3"/>
          </w:tcPr>
          <w:p>
            <w:pPr>
              <w:pStyle w:val="TableParagraph"/>
              <w:rPr>
                <w:b/>
                <w:sz w:val="18"/>
              </w:rPr>
            </w:pPr>
            <w:r>
              <w:rPr>
                <w:b/>
                <w:sz w:val="18"/>
              </w:rPr>
              <w:t>YOUR RESPONSE</w:t>
            </w:r>
          </w:p>
          <w:p>
            <w:pPr>
              <w:pStyle w:val="TableParagraph"/>
              <w:ind w:left="0"/>
              <w:rPr>
                <w:sz w:val="18"/>
              </w:rPr>
            </w:pPr>
          </w:p>
          <w:p>
            <w:pPr>
              <w:pStyle w:val="TableParagraph"/>
              <w:rPr>
                <w:sz w:val="18"/>
              </w:rPr>
            </w:pPr>
            <w:r>
              <w:rPr>
                <w:sz w:val="18"/>
              </w:rPr>
              <w:t>You are under a duty to respond to this report within 56 days of the date of this report, namely by May 10, 2023. I, the coroner, may extend the period.</w:t>
            </w:r>
          </w:p>
          <w:p>
            <w:pPr>
              <w:pStyle w:val="TableParagraph"/>
              <w:spacing w:before="10"/>
              <w:ind w:left="0"/>
              <w:rPr>
                <w:sz w:val="17"/>
              </w:rPr>
            </w:pPr>
          </w:p>
          <w:p>
            <w:pPr>
              <w:pStyle w:val="TableParagraph"/>
              <w:spacing w:line="220" w:lineRule="atLeast" w:before="1"/>
              <w:rPr>
                <w:sz w:val="18"/>
              </w:rPr>
            </w:pPr>
            <w:r>
              <w:rPr>
                <w:sz w:val="18"/>
              </w:rPr>
              <w:t>Your response must contain details of action taken or proposed to be taken, setting out the timetable for action. Otherwise you must explain why no action is proposed.</w:t>
            </w:r>
          </w:p>
        </w:tc>
      </w:tr>
      <w:tr>
        <w:trPr>
          <w:trHeight w:val="1359" w:hRule="atLeast"/>
        </w:trPr>
        <w:tc>
          <w:tcPr>
            <w:tcW w:w="421" w:type="dxa"/>
            <w:vMerge w:val="restart"/>
          </w:tcPr>
          <w:p>
            <w:pPr>
              <w:pStyle w:val="TableParagraph"/>
              <w:spacing w:line="217" w:lineRule="exact"/>
              <w:rPr>
                <w:b/>
                <w:sz w:val="18"/>
              </w:rPr>
            </w:pPr>
            <w:r>
              <w:rPr>
                <w:b/>
                <w:sz w:val="18"/>
              </w:rPr>
              <w:t>8</w:t>
            </w:r>
          </w:p>
        </w:tc>
        <w:tc>
          <w:tcPr>
            <w:tcW w:w="8594" w:type="dxa"/>
            <w:gridSpan w:val="3"/>
            <w:tcBorders>
              <w:bottom w:val="nil"/>
            </w:tcBorders>
          </w:tcPr>
          <w:p>
            <w:pPr>
              <w:pStyle w:val="TableParagraph"/>
              <w:spacing w:line="217" w:lineRule="exact"/>
              <w:rPr>
                <w:b/>
                <w:sz w:val="18"/>
              </w:rPr>
            </w:pPr>
            <w:r>
              <w:rPr>
                <w:b/>
                <w:sz w:val="18"/>
              </w:rPr>
              <w:t>COPIES and PUBLICATION</w:t>
            </w:r>
          </w:p>
          <w:p>
            <w:pPr>
              <w:pStyle w:val="TableParagraph"/>
              <w:ind w:left="0"/>
              <w:rPr>
                <w:sz w:val="18"/>
              </w:rPr>
            </w:pPr>
          </w:p>
          <w:p>
            <w:pPr>
              <w:pStyle w:val="TableParagraph"/>
              <w:ind w:right="392"/>
              <w:rPr>
                <w:sz w:val="18"/>
              </w:rPr>
            </w:pPr>
            <w:r>
              <w:rPr>
                <w:sz w:val="18"/>
              </w:rPr>
              <w:t>I have sent a copy of my report to the Chief Coroner and to the following Interested Persons</w:t>
            </w:r>
          </w:p>
        </w:tc>
      </w:tr>
      <w:tr>
        <w:trPr>
          <w:trHeight w:val="226" w:hRule="atLeast"/>
        </w:trPr>
        <w:tc>
          <w:tcPr>
            <w:tcW w:w="421" w:type="dxa"/>
            <w:vMerge/>
            <w:tcBorders>
              <w:top w:val="nil"/>
            </w:tcBorders>
          </w:tcPr>
          <w:p>
            <w:pPr>
              <w:rPr>
                <w:sz w:val="2"/>
                <w:szCs w:val="2"/>
              </w:rPr>
            </w:pPr>
          </w:p>
        </w:tc>
        <w:tc>
          <w:tcPr>
            <w:tcW w:w="88" w:type="dxa"/>
            <w:tcBorders>
              <w:top w:val="nil"/>
              <w:left w:val="nil"/>
              <w:bottom w:val="nil"/>
              <w:right w:val="nil"/>
            </w:tcBorders>
            <w:shd w:val="clear" w:color="auto" w:fill="000000"/>
          </w:tcPr>
          <w:p>
            <w:pPr>
              <w:pStyle w:val="TableParagraph"/>
              <w:ind w:left="0"/>
              <w:rPr>
                <w:rFonts w:ascii="Times New Roman"/>
                <w:sz w:val="16"/>
              </w:rPr>
            </w:pPr>
          </w:p>
        </w:tc>
        <w:tc>
          <w:tcPr>
            <w:tcW w:w="1530" w:type="dxa"/>
            <w:tcBorders>
              <w:top w:val="nil"/>
              <w:left w:val="nil"/>
              <w:bottom w:val="nil"/>
              <w:right w:val="nil"/>
            </w:tcBorders>
            <w:shd w:val="clear" w:color="auto" w:fill="000000"/>
          </w:tcPr>
          <w:p>
            <w:pPr>
              <w:pStyle w:val="TableParagraph"/>
              <w:ind w:left="0"/>
              <w:rPr>
                <w:rFonts w:ascii="Times New Roman"/>
                <w:sz w:val="16"/>
              </w:rPr>
            </w:pPr>
          </w:p>
        </w:tc>
        <w:tc>
          <w:tcPr>
            <w:tcW w:w="6976" w:type="dxa"/>
            <w:tcBorders>
              <w:top w:val="nil"/>
              <w:left w:val="nil"/>
            </w:tcBorders>
          </w:tcPr>
          <w:p>
            <w:pPr>
              <w:pStyle w:val="TableParagraph"/>
              <w:ind w:left="0"/>
              <w:rPr>
                <w:rFonts w:ascii="Times New Roman"/>
                <w:sz w:val="16"/>
              </w:rPr>
            </w:pPr>
          </w:p>
        </w:tc>
      </w:tr>
    </w:tbl>
    <w:p>
      <w:pPr>
        <w:rPr>
          <w:sz w:val="2"/>
          <w:szCs w:val="2"/>
        </w:rPr>
      </w:pPr>
      <w:r>
        <w:rPr/>
        <w:pict>
          <v:rect style="position:absolute;margin-left:88.892609pt;margin-top:735.921631pt;width:110.843pt;height:10.935pt;mso-position-horizontal-relative:page;mso-position-vertical-relative:page;z-index:-251886592" filled="true" fillcolor="#000000" stroked="false">
            <v:fill type="solid"/>
            <w10:wrap type="none"/>
          </v:rect>
        </w:pict>
      </w:r>
    </w:p>
    <w:p>
      <w:pPr>
        <w:spacing w:after="0"/>
        <w:rPr>
          <w:sz w:val="2"/>
          <w:szCs w:val="2"/>
        </w:rPr>
        <w:sectPr>
          <w:pgSz w:w="11910" w:h="16840"/>
          <w:pgMar w:header="284" w:footer="361" w:top="2180" w:bottom="560" w:left="1160" w:right="150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1"/>
        <w:gridCol w:w="8595"/>
      </w:tblGrid>
      <w:tr>
        <w:trPr>
          <w:trHeight w:val="4407" w:hRule="atLeast"/>
        </w:trPr>
        <w:tc>
          <w:tcPr>
            <w:tcW w:w="421" w:type="dxa"/>
          </w:tcPr>
          <w:p>
            <w:pPr>
              <w:pStyle w:val="TableParagraph"/>
              <w:ind w:left="0"/>
              <w:rPr>
                <w:rFonts w:ascii="Times New Roman"/>
                <w:sz w:val="16"/>
              </w:rPr>
            </w:pPr>
          </w:p>
        </w:tc>
        <w:tc>
          <w:tcPr>
            <w:tcW w:w="8595" w:type="dxa"/>
          </w:tcPr>
          <w:p>
            <w:pPr>
              <w:pStyle w:val="TableParagraph"/>
              <w:spacing w:before="12"/>
              <w:ind w:left="0"/>
              <w:rPr>
                <w:sz w:val="17"/>
              </w:rPr>
            </w:pPr>
          </w:p>
          <w:p>
            <w:pPr>
              <w:pStyle w:val="TableParagraph"/>
              <w:rPr>
                <w:sz w:val="18"/>
              </w:rPr>
            </w:pPr>
            <w:r>
              <w:rPr>
                <w:sz w:val="18"/>
              </w:rPr>
              <w:t>I have also sent it to</w:t>
            </w:r>
          </w:p>
          <w:p>
            <w:pPr>
              <w:pStyle w:val="TableParagraph"/>
              <w:ind w:left="0"/>
              <w:rPr>
                <w:sz w:val="18"/>
              </w:rPr>
            </w:pPr>
          </w:p>
          <w:p>
            <w:pPr>
              <w:pStyle w:val="TableParagraph"/>
              <w:rPr>
                <w:b/>
                <w:sz w:val="18"/>
              </w:rPr>
            </w:pPr>
            <w:r>
              <w:rPr>
                <w:b/>
                <w:sz w:val="18"/>
              </w:rPr>
              <w:t>British Standards Institute</w:t>
            </w:r>
          </w:p>
          <w:p>
            <w:pPr>
              <w:pStyle w:val="TableParagraph"/>
              <w:spacing w:before="8"/>
              <w:ind w:left="0"/>
              <w:rPr>
                <w:sz w:val="20"/>
              </w:rPr>
            </w:pPr>
          </w:p>
          <w:p>
            <w:pPr>
              <w:pStyle w:val="TableParagraph"/>
              <w:rPr>
                <w:sz w:val="18"/>
              </w:rPr>
            </w:pPr>
            <w:r>
              <w:rPr>
                <w:sz w:val="18"/>
              </w:rPr>
              <w:t>who may find it useful or of interest.</w:t>
            </w:r>
          </w:p>
          <w:p>
            <w:pPr>
              <w:pStyle w:val="TableParagraph"/>
              <w:ind w:left="0"/>
              <w:rPr>
                <w:sz w:val="18"/>
              </w:rPr>
            </w:pPr>
          </w:p>
          <w:p>
            <w:pPr>
              <w:pStyle w:val="TableParagraph"/>
              <w:rPr>
                <w:sz w:val="18"/>
              </w:rPr>
            </w:pPr>
            <w:r>
              <w:rPr>
                <w:sz w:val="18"/>
              </w:rPr>
              <w:t>I am also under a duty to send a copy of your response to the Chief Coroner and all interested persons who in my opinion should receive it.</w:t>
            </w:r>
          </w:p>
          <w:p>
            <w:pPr>
              <w:pStyle w:val="TableParagraph"/>
              <w:ind w:left="0"/>
              <w:rPr>
                <w:sz w:val="18"/>
              </w:rPr>
            </w:pPr>
          </w:p>
          <w:p>
            <w:pPr>
              <w:pStyle w:val="TableParagraph"/>
              <w:ind w:right="232"/>
              <w:rPr>
                <w:sz w:val="18"/>
              </w:rPr>
            </w:pPr>
            <w:r>
              <w:rPr>
                <w:sz w:val="18"/>
              </w:rPr>
              <w:t>I may also send a copy of your response to any person who I believe may find it useful or of interest.</w:t>
            </w:r>
          </w:p>
          <w:p>
            <w:pPr>
              <w:pStyle w:val="TableParagraph"/>
              <w:ind w:left="0"/>
              <w:rPr>
                <w:sz w:val="18"/>
              </w:rPr>
            </w:pPr>
          </w:p>
          <w:p>
            <w:pPr>
              <w:pStyle w:val="TableParagraph"/>
              <w:ind w:right="85"/>
              <w:rPr>
                <w:sz w:val="18"/>
              </w:rPr>
            </w:pPr>
            <w:r>
              <w:rPr>
                <w:sz w:val="18"/>
              </w:rPr>
              <w:t>The Chief Coroner may publish either or both in a complete or redacted or summary form. He may send a copy of this report to any person who he believes may find it useful or of interest.</w:t>
            </w:r>
          </w:p>
          <w:p>
            <w:pPr>
              <w:pStyle w:val="TableParagraph"/>
              <w:ind w:left="0"/>
              <w:rPr>
                <w:sz w:val="18"/>
              </w:rPr>
            </w:pPr>
          </w:p>
          <w:p>
            <w:pPr>
              <w:pStyle w:val="TableParagraph"/>
              <w:rPr>
                <w:sz w:val="18"/>
              </w:rPr>
            </w:pPr>
            <w:r>
              <w:rPr>
                <w:sz w:val="18"/>
              </w:rPr>
              <w:t>You may make representations to me, the coroner, at the time of your response about the release or the publication of your response by the Chief Coroner.</w:t>
            </w:r>
          </w:p>
        </w:tc>
      </w:tr>
      <w:tr>
        <w:trPr>
          <w:trHeight w:val="2032" w:hRule="atLeast"/>
        </w:trPr>
        <w:tc>
          <w:tcPr>
            <w:tcW w:w="421" w:type="dxa"/>
          </w:tcPr>
          <w:p>
            <w:pPr>
              <w:pStyle w:val="TableParagraph"/>
              <w:rPr>
                <w:b/>
                <w:sz w:val="18"/>
              </w:rPr>
            </w:pPr>
            <w:r>
              <w:rPr>
                <w:b/>
                <w:sz w:val="18"/>
              </w:rPr>
              <w:t>9</w:t>
            </w:r>
          </w:p>
        </w:tc>
        <w:tc>
          <w:tcPr>
            <w:tcW w:w="8595" w:type="dxa"/>
          </w:tcPr>
          <w:p>
            <w:pPr>
              <w:pStyle w:val="TableParagraph"/>
              <w:ind w:left="169"/>
              <w:rPr>
                <w:b/>
                <w:sz w:val="18"/>
              </w:rPr>
            </w:pPr>
            <w:r>
              <w:rPr>
                <w:b/>
                <w:sz w:val="18"/>
              </w:rPr>
              <w:t>Dated: 16/03/2023</w:t>
            </w:r>
          </w:p>
          <w:p>
            <w:pPr>
              <w:pStyle w:val="TableParagraph"/>
              <w:ind w:left="0"/>
              <w:rPr>
                <w:sz w:val="18"/>
              </w:rPr>
            </w:pPr>
          </w:p>
          <w:p>
            <w:pPr>
              <w:pStyle w:val="TableParagraph"/>
              <w:rPr>
                <w:sz w:val="20"/>
              </w:rPr>
            </w:pPr>
            <w:r>
              <w:rPr>
                <w:sz w:val="20"/>
              </w:rPr>
              <w:drawing>
                <wp:inline distT="0" distB="0" distL="0" distR="0">
                  <wp:extent cx="1528762" cy="448627"/>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528762" cy="448627"/>
                          </a:xfrm>
                          <a:prstGeom prst="rect">
                            <a:avLst/>
                          </a:prstGeom>
                        </pic:spPr>
                      </pic:pic>
                    </a:graphicData>
                  </a:graphic>
                </wp:inline>
              </w:drawing>
            </w:r>
            <w:r>
              <w:rPr>
                <w:sz w:val="20"/>
              </w:rPr>
            </w:r>
          </w:p>
          <w:p>
            <w:pPr>
              <w:pStyle w:val="TableParagraph"/>
              <w:spacing w:before="13"/>
              <w:ind w:right="6307"/>
              <w:rPr>
                <w:b/>
                <w:sz w:val="18"/>
              </w:rPr>
            </w:pPr>
            <w:r>
              <w:rPr>
                <w:b/>
                <w:sz w:val="18"/>
              </w:rPr>
              <w:t>Sarah WATSON Assistant Coroner for</w:t>
            </w:r>
          </w:p>
          <w:p>
            <w:pPr>
              <w:pStyle w:val="TableParagraph"/>
              <w:rPr>
                <w:b/>
                <w:sz w:val="18"/>
              </w:rPr>
            </w:pPr>
            <w:r>
              <w:rPr>
                <w:b/>
                <w:sz w:val="18"/>
              </w:rPr>
              <w:t>North Yorkshire and York</w:t>
            </w:r>
          </w:p>
        </w:tc>
      </w:tr>
    </w:tbl>
    <w:sectPr>
      <w:pgSz w:w="11910" w:h="16840"/>
      <w:pgMar w:header="284" w:footer="361" w:top="2180" w:bottom="560" w:left="116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75.537415pt;margin-top:808.825012pt;width:148.65pt;height:19.9pt;mso-position-horizontal-relative:page;mso-position-vertical-relative:page;z-index:-251886592" type="#_x0000_t202" filled="false" stroked="false">
          <v:textbox inset="0,0,0,0">
            <w:txbxContent>
              <w:p>
                <w:pPr>
                  <w:pStyle w:val="BodyText"/>
                  <w:spacing w:line="232" w:lineRule="auto" w:before="19"/>
                  <w:ind w:left="20" w:right="-3" w:firstLine="862"/>
                </w:pPr>
                <w:r>
                  <w:rPr/>
                  <w:t>Regulation 28 – After Inquest Document Template Updated 30/07/2021</w:t>
                </w:r>
              </w:p>
            </w:txbxContent>
          </v:textbox>
          <w10:wrap type="none"/>
        </v:shape>
      </w:pict>
    </w:r>
    <w:r>
      <w:rPr/>
      <w:pict>
        <v:shape style="position:absolute;margin-left:278.564087pt;margin-top:813.833435pt;width:38.2pt;height:12pt;mso-position-horizontal-relative:page;mso-position-vertical-relative:page;z-index:-251885568" type="#_x0000_t202" filled="false" stroked="false">
          <v:textbox inset="0,0,0,0">
            <w:txbxContent>
              <w:p>
                <w:pPr>
                  <w:spacing w:line="224" w:lineRule="exact" w:before="0"/>
                  <w:ind w:left="20" w:right="0" w:firstLine="0"/>
                  <w:jc w:val="left"/>
                  <w:rPr>
                    <w:rFonts w:ascii="Calibri"/>
                    <w:sz w:val="20"/>
                  </w:rPr>
                </w:pPr>
                <w:r>
                  <w:rPr>
                    <w:rFonts w:ascii="Calibri"/>
                    <w:color w:val="FF0000"/>
                    <w:sz w:val="20"/>
                  </w:rPr>
                  <w:t>OFFICIAL</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428864">
          <wp:simplePos x="0" y="0"/>
          <wp:positionH relativeFrom="page">
            <wp:posOffset>3120687</wp:posOffset>
          </wp:positionH>
          <wp:positionV relativeFrom="page">
            <wp:posOffset>180339</wp:posOffset>
          </wp:positionV>
          <wp:extent cx="1318927" cy="120967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318927" cy="120967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7" w:hanging="720"/>
        <w:jc w:val="left"/>
      </w:pPr>
      <w:rPr>
        <w:rFonts w:hint="default" w:ascii="Verdana" w:hAnsi="Verdana" w:eastAsia="Verdana" w:cs="Verdana"/>
        <w:spacing w:val="-1"/>
        <w:w w:val="100"/>
        <w:sz w:val="18"/>
        <w:szCs w:val="18"/>
        <w:lang w:val="en-US" w:eastAsia="en-US" w:bidi="en-US"/>
      </w:rPr>
    </w:lvl>
    <w:lvl w:ilvl="1">
      <w:start w:val="0"/>
      <w:numFmt w:val="bullet"/>
      <w:lvlText w:val="•"/>
      <w:lvlJc w:val="left"/>
      <w:pPr>
        <w:ind w:left="948" w:hanging="720"/>
      </w:pPr>
      <w:rPr>
        <w:rFonts w:hint="default"/>
        <w:lang w:val="en-US" w:eastAsia="en-US" w:bidi="en-US"/>
      </w:rPr>
    </w:lvl>
    <w:lvl w:ilvl="2">
      <w:start w:val="0"/>
      <w:numFmt w:val="bullet"/>
      <w:lvlText w:val="•"/>
      <w:lvlJc w:val="left"/>
      <w:pPr>
        <w:ind w:left="1796" w:hanging="720"/>
      </w:pPr>
      <w:rPr>
        <w:rFonts w:hint="default"/>
        <w:lang w:val="en-US" w:eastAsia="en-US" w:bidi="en-US"/>
      </w:rPr>
    </w:lvl>
    <w:lvl w:ilvl="3">
      <w:start w:val="0"/>
      <w:numFmt w:val="bullet"/>
      <w:lvlText w:val="•"/>
      <w:lvlJc w:val="left"/>
      <w:pPr>
        <w:ind w:left="2645" w:hanging="720"/>
      </w:pPr>
      <w:rPr>
        <w:rFonts w:hint="default"/>
        <w:lang w:val="en-US" w:eastAsia="en-US" w:bidi="en-US"/>
      </w:rPr>
    </w:lvl>
    <w:lvl w:ilvl="4">
      <w:start w:val="0"/>
      <w:numFmt w:val="bullet"/>
      <w:lvlText w:val="•"/>
      <w:lvlJc w:val="left"/>
      <w:pPr>
        <w:ind w:left="3493" w:hanging="720"/>
      </w:pPr>
      <w:rPr>
        <w:rFonts w:hint="default"/>
        <w:lang w:val="en-US" w:eastAsia="en-US" w:bidi="en-US"/>
      </w:rPr>
    </w:lvl>
    <w:lvl w:ilvl="5">
      <w:start w:val="0"/>
      <w:numFmt w:val="bullet"/>
      <w:lvlText w:val="•"/>
      <w:lvlJc w:val="left"/>
      <w:pPr>
        <w:ind w:left="4342" w:hanging="720"/>
      </w:pPr>
      <w:rPr>
        <w:rFonts w:hint="default"/>
        <w:lang w:val="en-US" w:eastAsia="en-US" w:bidi="en-US"/>
      </w:rPr>
    </w:lvl>
    <w:lvl w:ilvl="6">
      <w:start w:val="0"/>
      <w:numFmt w:val="bullet"/>
      <w:lvlText w:val="•"/>
      <w:lvlJc w:val="left"/>
      <w:pPr>
        <w:ind w:left="5190" w:hanging="720"/>
      </w:pPr>
      <w:rPr>
        <w:rFonts w:hint="default"/>
        <w:lang w:val="en-US" w:eastAsia="en-US" w:bidi="en-US"/>
      </w:rPr>
    </w:lvl>
    <w:lvl w:ilvl="7">
      <w:start w:val="0"/>
      <w:numFmt w:val="bullet"/>
      <w:lvlText w:val="•"/>
      <w:lvlJc w:val="left"/>
      <w:pPr>
        <w:ind w:left="6038" w:hanging="720"/>
      </w:pPr>
      <w:rPr>
        <w:rFonts w:hint="default"/>
        <w:lang w:val="en-US" w:eastAsia="en-US" w:bidi="en-US"/>
      </w:rPr>
    </w:lvl>
    <w:lvl w:ilvl="8">
      <w:start w:val="0"/>
      <w:numFmt w:val="bullet"/>
      <w:lvlText w:val="•"/>
      <w:lvlJc w:val="left"/>
      <w:pPr>
        <w:ind w:left="6887" w:hanging="720"/>
      </w:pPr>
      <w:rPr>
        <w:rFonts w:hint="default"/>
        <w:lang w:val="en-US" w:eastAsia="en-US" w:bidi="en-US"/>
      </w:rPr>
    </w:lvl>
  </w:abstractNum>
  <w:abstractNum w:abstractNumId="0">
    <w:multiLevelType w:val="hybridMultilevel"/>
    <w:lvl w:ilvl="0">
      <w:start w:val="1"/>
      <w:numFmt w:val="decimal"/>
      <w:lvlText w:val="%1"/>
      <w:lvlJc w:val="left"/>
      <w:pPr>
        <w:ind w:left="1874" w:hanging="1767"/>
        <w:jc w:val="left"/>
      </w:pPr>
      <w:rPr>
        <w:rFonts w:hint="default" w:ascii="Verdana" w:hAnsi="Verdana" w:eastAsia="Verdana" w:cs="Verdana"/>
        <w:b/>
        <w:bCs/>
        <w:spacing w:val="-1"/>
        <w:w w:val="100"/>
        <w:sz w:val="18"/>
        <w:szCs w:val="18"/>
        <w:lang w:val="en-US" w:eastAsia="en-US" w:bidi="en-US"/>
      </w:rPr>
    </w:lvl>
    <w:lvl w:ilvl="1">
      <w:start w:val="0"/>
      <w:numFmt w:val="bullet"/>
      <w:lvlText w:val="•"/>
      <w:lvlJc w:val="left"/>
      <w:pPr>
        <w:ind w:left="2550" w:hanging="1767"/>
      </w:pPr>
      <w:rPr>
        <w:rFonts w:hint="default"/>
        <w:lang w:val="en-US" w:eastAsia="en-US" w:bidi="en-US"/>
      </w:rPr>
    </w:lvl>
    <w:lvl w:ilvl="2">
      <w:start w:val="0"/>
      <w:numFmt w:val="bullet"/>
      <w:lvlText w:val="•"/>
      <w:lvlJc w:val="left"/>
      <w:pPr>
        <w:ind w:left="3221" w:hanging="1767"/>
      </w:pPr>
      <w:rPr>
        <w:rFonts w:hint="default"/>
        <w:lang w:val="en-US" w:eastAsia="en-US" w:bidi="en-US"/>
      </w:rPr>
    </w:lvl>
    <w:lvl w:ilvl="3">
      <w:start w:val="0"/>
      <w:numFmt w:val="bullet"/>
      <w:lvlText w:val="•"/>
      <w:lvlJc w:val="left"/>
      <w:pPr>
        <w:ind w:left="3891" w:hanging="1767"/>
      </w:pPr>
      <w:rPr>
        <w:rFonts w:hint="default"/>
        <w:lang w:val="en-US" w:eastAsia="en-US" w:bidi="en-US"/>
      </w:rPr>
    </w:lvl>
    <w:lvl w:ilvl="4">
      <w:start w:val="0"/>
      <w:numFmt w:val="bullet"/>
      <w:lvlText w:val="•"/>
      <w:lvlJc w:val="left"/>
      <w:pPr>
        <w:ind w:left="4562" w:hanging="1767"/>
      </w:pPr>
      <w:rPr>
        <w:rFonts w:hint="default"/>
        <w:lang w:val="en-US" w:eastAsia="en-US" w:bidi="en-US"/>
      </w:rPr>
    </w:lvl>
    <w:lvl w:ilvl="5">
      <w:start w:val="0"/>
      <w:numFmt w:val="bullet"/>
      <w:lvlText w:val="•"/>
      <w:lvlJc w:val="left"/>
      <w:pPr>
        <w:ind w:left="5232" w:hanging="1767"/>
      </w:pPr>
      <w:rPr>
        <w:rFonts w:hint="default"/>
        <w:lang w:val="en-US" w:eastAsia="en-US" w:bidi="en-US"/>
      </w:rPr>
    </w:lvl>
    <w:lvl w:ilvl="6">
      <w:start w:val="0"/>
      <w:numFmt w:val="bullet"/>
      <w:lvlText w:val="•"/>
      <w:lvlJc w:val="left"/>
      <w:pPr>
        <w:ind w:left="5903" w:hanging="1767"/>
      </w:pPr>
      <w:rPr>
        <w:rFonts w:hint="default"/>
        <w:lang w:val="en-US" w:eastAsia="en-US" w:bidi="en-US"/>
      </w:rPr>
    </w:lvl>
    <w:lvl w:ilvl="7">
      <w:start w:val="0"/>
      <w:numFmt w:val="bullet"/>
      <w:lvlText w:val="•"/>
      <w:lvlJc w:val="left"/>
      <w:pPr>
        <w:ind w:left="6573" w:hanging="1767"/>
      </w:pPr>
      <w:rPr>
        <w:rFonts w:hint="default"/>
        <w:lang w:val="en-US" w:eastAsia="en-US" w:bidi="en-US"/>
      </w:rPr>
    </w:lvl>
    <w:lvl w:ilvl="8">
      <w:start w:val="0"/>
      <w:numFmt w:val="bullet"/>
      <w:lvlText w:val="•"/>
      <w:lvlJc w:val="left"/>
      <w:pPr>
        <w:ind w:left="7244" w:hanging="1767"/>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en-US"/>
    </w:rPr>
  </w:style>
  <w:style w:styleId="BodyText" w:type="paragraph">
    <w:name w:val="Body Text"/>
    <w:basedOn w:val="Normal"/>
    <w:uiPriority w:val="1"/>
    <w:qFormat/>
    <w:pPr/>
    <w:rPr>
      <w:rFonts w:ascii="Arial" w:hAnsi="Arial" w:eastAsia="Arial" w:cs="Arial"/>
      <w:sz w:val="16"/>
      <w:szCs w:val="16"/>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ind w:left="107"/>
    </w:pPr>
    <w:rPr>
      <w:rFonts w:ascii="Verdana" w:hAnsi="Verdana" w:eastAsia="Verdana" w:cs="Verdana"/>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Ibbotson - Prevention of future deaths report - 2023-0093</dc:title>
  <dcterms:created xsi:type="dcterms:W3CDTF">2023-03-16T16:54:48Z</dcterms:created>
  <dcterms:modified xsi:type="dcterms:W3CDTF">2023-03-16T16:54:48Z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PDFsharp 1.50.5147 (www.pdfsharp.com)</vt:lpwstr>
  </property>
  <property fmtid="{D5CDD505-2E9C-101B-9397-08002B2CF9AE}" pid="4" name="LastSaved">
    <vt:filetime>2023-03-16T00:00:00Z</vt:filetime>
  </property>
</Properties>
</file>