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A952" w14:textId="02398A0A" w:rsidR="005F7511" w:rsidRDefault="005F7511" w:rsidP="00BB5E65">
      <w:pPr>
        <w:spacing w:after="120"/>
        <w:rPr>
          <w:rFonts w:asciiTheme="minorHAnsi" w:hAnsiTheme="minorHAnsi" w:cstheme="minorHAnsi"/>
          <w:b/>
          <w:bCs/>
          <w:color w:val="077565"/>
          <w:shd w:val="clear" w:color="auto" w:fill="FFFFFF"/>
        </w:rPr>
      </w:pPr>
      <w:r w:rsidRPr="00BB5E65">
        <w:rPr>
          <w:rFonts w:asciiTheme="minorHAnsi" w:hAnsiTheme="minorHAnsi" w:cstheme="minorHAnsi"/>
          <w:shd w:val="clear" w:color="auto" w:fill="FFFFFF"/>
        </w:rPr>
        <w:t xml:space="preserve">The consultation </w:t>
      </w:r>
      <w:r w:rsidR="00F675D3" w:rsidRPr="00BB5E65">
        <w:rPr>
          <w:rFonts w:asciiTheme="minorHAnsi" w:hAnsiTheme="minorHAnsi" w:cstheme="minorHAnsi"/>
          <w:shd w:val="clear" w:color="auto" w:fill="FFFFFF"/>
        </w:rPr>
        <w:t>closes on</w:t>
      </w:r>
      <w:r w:rsidR="00F675D3" w:rsidRPr="00BB5E65">
        <w:rPr>
          <w:rFonts w:asciiTheme="minorHAnsi" w:hAnsiTheme="minorHAnsi" w:cstheme="minorHAnsi"/>
          <w:b/>
          <w:bCs/>
          <w:shd w:val="clear" w:color="auto" w:fill="FFFFFF"/>
        </w:rPr>
        <w:t xml:space="preserve"> </w:t>
      </w:r>
      <w:r w:rsidR="00F675D3">
        <w:rPr>
          <w:rFonts w:asciiTheme="minorHAnsi" w:hAnsiTheme="minorHAnsi" w:cstheme="minorHAnsi"/>
          <w:b/>
          <w:bCs/>
          <w:color w:val="077565"/>
          <w:shd w:val="clear" w:color="auto" w:fill="FFFFFF"/>
        </w:rPr>
        <w:t>1</w:t>
      </w:r>
      <w:r w:rsidR="005B09B8">
        <w:rPr>
          <w:rFonts w:asciiTheme="minorHAnsi" w:hAnsiTheme="minorHAnsi" w:cstheme="minorHAnsi"/>
          <w:b/>
          <w:bCs/>
          <w:color w:val="077565"/>
          <w:shd w:val="clear" w:color="auto" w:fill="FFFFFF"/>
        </w:rPr>
        <w:t>7</w:t>
      </w:r>
      <w:r w:rsidR="00F675D3">
        <w:rPr>
          <w:rFonts w:asciiTheme="minorHAnsi" w:hAnsiTheme="minorHAnsi" w:cstheme="minorHAnsi"/>
          <w:b/>
          <w:bCs/>
          <w:color w:val="077565"/>
          <w:shd w:val="clear" w:color="auto" w:fill="FFFFFF"/>
        </w:rPr>
        <w:t xml:space="preserve"> March 2024 at 23:59</w:t>
      </w:r>
      <w:r w:rsidR="00F675D3" w:rsidRPr="00BB5E65">
        <w:rPr>
          <w:rFonts w:asciiTheme="minorHAnsi" w:hAnsiTheme="minorHAnsi" w:cstheme="minorHAnsi"/>
          <w:shd w:val="clear" w:color="auto" w:fill="FFFFFF"/>
        </w:rPr>
        <w:t>.</w:t>
      </w:r>
    </w:p>
    <w:p w14:paraId="33529EEC" w14:textId="24462138" w:rsidR="00BB5E65" w:rsidRDefault="005F7511" w:rsidP="00BB5E65">
      <w:pPr>
        <w:spacing w:after="120"/>
        <w:rPr>
          <w:rFonts w:asciiTheme="minorHAnsi" w:hAnsiTheme="minorHAnsi" w:cstheme="minorHAnsi"/>
          <w:shd w:val="clear" w:color="auto" w:fill="FFFFFF"/>
        </w:rPr>
      </w:pPr>
      <w:r>
        <w:rPr>
          <w:rFonts w:asciiTheme="minorHAnsi" w:hAnsiTheme="minorHAnsi" w:cstheme="minorHAnsi"/>
          <w:shd w:val="clear" w:color="auto" w:fill="FFFFFF"/>
        </w:rPr>
        <w:t>Consultees do not need to answer all questions if only some are of interest or relevance.</w:t>
      </w:r>
    </w:p>
    <w:p w14:paraId="78AB39B9" w14:textId="10EB60F3" w:rsidR="00BB5E65" w:rsidRDefault="005F7511" w:rsidP="00C35194">
      <w:pPr>
        <w:spacing w:after="120"/>
        <w:rPr>
          <w:rFonts w:asciiTheme="minorHAnsi" w:hAnsiTheme="minorHAnsi" w:cstheme="minorHAnsi"/>
          <w:shd w:val="clear" w:color="auto" w:fill="FFFFFF"/>
        </w:rPr>
      </w:pPr>
      <w:r>
        <w:rPr>
          <w:rFonts w:asciiTheme="minorHAnsi" w:hAnsiTheme="minorHAnsi" w:cstheme="minorHAnsi"/>
          <w:shd w:val="clear" w:color="auto" w:fill="FFFFFF"/>
        </w:rPr>
        <w:t>A</w:t>
      </w:r>
      <w:r w:rsidR="004359BC">
        <w:rPr>
          <w:rFonts w:asciiTheme="minorHAnsi" w:hAnsiTheme="minorHAnsi" w:cstheme="minorHAnsi"/>
          <w:shd w:val="clear" w:color="auto" w:fill="FFFFFF"/>
        </w:rPr>
        <w:t>n</w:t>
      </w:r>
      <w:r>
        <w:rPr>
          <w:rFonts w:asciiTheme="minorHAnsi" w:hAnsiTheme="minorHAnsi" w:cstheme="minorHAnsi"/>
          <w:shd w:val="clear" w:color="auto" w:fill="FFFFFF"/>
        </w:rPr>
        <w:t xml:space="preserve">swers should be submitted </w:t>
      </w:r>
      <w:r w:rsidR="003E7185">
        <w:rPr>
          <w:rFonts w:asciiTheme="minorHAnsi" w:hAnsiTheme="minorHAnsi" w:cstheme="minorHAnsi"/>
          <w:shd w:val="clear" w:color="auto" w:fill="FFFFFF"/>
        </w:rPr>
        <w:t xml:space="preserve">by </w:t>
      </w:r>
      <w:r w:rsidR="007669D7">
        <w:rPr>
          <w:rFonts w:asciiTheme="minorHAnsi" w:hAnsiTheme="minorHAnsi" w:cstheme="minorHAnsi"/>
          <w:shd w:val="clear" w:color="auto" w:fill="FFFFFF"/>
        </w:rPr>
        <w:t>PDF or word document</w:t>
      </w:r>
      <w:r w:rsidR="00A04C93">
        <w:rPr>
          <w:rFonts w:asciiTheme="minorHAnsi" w:hAnsiTheme="minorHAnsi" w:cstheme="minorHAnsi"/>
          <w:shd w:val="clear" w:color="auto" w:fill="FFFFFF"/>
        </w:rPr>
        <w:t xml:space="preserve"> to</w:t>
      </w:r>
      <w:r w:rsidR="00FD6E06">
        <w:t xml:space="preserve"> </w:t>
      </w:r>
      <w:hyperlink r:id="rId7" w:history="1">
        <w:r w:rsidR="00FD6E06" w:rsidRPr="00A8746F">
          <w:rPr>
            <w:rStyle w:val="Hyperlink"/>
            <w:b/>
            <w:bCs/>
            <w:color w:val="077565"/>
          </w:rPr>
          <w:t>CJCCapacityConsultation@judiciary.uk</w:t>
        </w:r>
      </w:hyperlink>
      <w:r w:rsidR="00A04C93">
        <w:rPr>
          <w:rFonts w:asciiTheme="minorHAnsi" w:hAnsiTheme="minorHAnsi" w:cstheme="minorHAnsi"/>
          <w:shd w:val="clear" w:color="auto" w:fill="FFFFFF"/>
        </w:rPr>
        <w:t>.</w:t>
      </w:r>
      <w:r w:rsidR="005B09B8">
        <w:rPr>
          <w:rFonts w:asciiTheme="minorHAnsi" w:hAnsiTheme="minorHAnsi" w:cstheme="minorHAnsi"/>
          <w:shd w:val="clear" w:color="auto" w:fill="FFFFFF"/>
        </w:rPr>
        <w:t xml:space="preserve"> If you have any questions about the consultation or submission process, please contact </w:t>
      </w:r>
      <w:hyperlink r:id="rId8" w:history="1">
        <w:r w:rsidR="005B09B8" w:rsidRPr="00A8746F">
          <w:rPr>
            <w:rStyle w:val="Hyperlink"/>
            <w:rFonts w:asciiTheme="minorHAnsi" w:hAnsiTheme="minorHAnsi" w:cstheme="minorHAnsi"/>
            <w:b/>
            <w:bCs/>
            <w:color w:val="077565"/>
            <w:shd w:val="clear" w:color="auto" w:fill="FFFFFF"/>
          </w:rPr>
          <w:t>CJC@judiciary.uk</w:t>
        </w:r>
      </w:hyperlink>
      <w:r w:rsidR="005B09B8">
        <w:rPr>
          <w:rFonts w:asciiTheme="minorHAnsi" w:hAnsiTheme="minorHAnsi" w:cstheme="minorHAnsi"/>
          <w:shd w:val="clear" w:color="auto" w:fill="FFFFFF"/>
        </w:rPr>
        <w:t xml:space="preserve">. </w:t>
      </w:r>
    </w:p>
    <w:p w14:paraId="5B848BF5" w14:textId="723C4CD3" w:rsidR="005F7511" w:rsidRDefault="00747AD2" w:rsidP="00C35194">
      <w:pPr>
        <w:spacing w:after="120"/>
        <w:rPr>
          <w:rFonts w:asciiTheme="minorHAnsi" w:hAnsiTheme="minorHAnsi" w:cstheme="minorHAnsi"/>
          <w:shd w:val="clear" w:color="auto" w:fill="FFFFFF"/>
        </w:rPr>
      </w:pPr>
      <w:r>
        <w:rPr>
          <w:rFonts w:asciiTheme="minorHAnsi" w:hAnsiTheme="minorHAnsi" w:cstheme="minorHAnsi"/>
          <w:shd w:val="clear" w:color="auto" w:fill="FFFFFF"/>
        </w:rPr>
        <w:t>Please name your submission as follows:</w:t>
      </w:r>
      <w:r w:rsidR="00A04C93">
        <w:rPr>
          <w:rFonts w:asciiTheme="minorHAnsi" w:hAnsiTheme="minorHAnsi" w:cstheme="minorHAnsi"/>
          <w:shd w:val="clear" w:color="auto" w:fill="FFFFFF"/>
        </w:rPr>
        <w:t xml:space="preserve"> </w:t>
      </w:r>
      <w:r w:rsidR="00BD1C9F">
        <w:rPr>
          <w:rFonts w:asciiTheme="minorHAnsi" w:hAnsiTheme="minorHAnsi" w:cstheme="minorHAnsi"/>
          <w:shd w:val="clear" w:color="auto" w:fill="FFFFFF"/>
        </w:rPr>
        <w:t>‘</w:t>
      </w:r>
      <w:r w:rsidR="004E6D41">
        <w:rPr>
          <w:rFonts w:asciiTheme="minorHAnsi" w:hAnsiTheme="minorHAnsi" w:cstheme="minorHAnsi"/>
          <w:shd w:val="clear" w:color="auto" w:fill="FFFFFF"/>
        </w:rPr>
        <w:t>name/organisation</w:t>
      </w:r>
      <w:r w:rsidR="00BD1C9F">
        <w:rPr>
          <w:rFonts w:asciiTheme="minorHAnsi" w:hAnsiTheme="minorHAnsi" w:cstheme="minorHAnsi"/>
          <w:shd w:val="clear" w:color="auto" w:fill="FFFFFF"/>
        </w:rPr>
        <w:t xml:space="preserve"> - CJC Capacity Consultation’</w:t>
      </w:r>
    </w:p>
    <w:p w14:paraId="0E5C35D6" w14:textId="4A88DA1A" w:rsidR="004E16BB" w:rsidRPr="004E16BB" w:rsidRDefault="004E16BB" w:rsidP="00C35194">
      <w:pPr>
        <w:spacing w:after="120"/>
        <w:rPr>
          <w:rFonts w:asciiTheme="minorHAnsi" w:hAnsiTheme="minorHAnsi" w:cstheme="minorHAnsi"/>
          <w:b/>
          <w:bCs/>
          <w:shd w:val="clear" w:color="auto" w:fill="FFFFFF"/>
        </w:rPr>
      </w:pPr>
      <w:r>
        <w:rPr>
          <w:rFonts w:asciiTheme="minorHAnsi" w:hAnsiTheme="minorHAnsi" w:cstheme="minorHAnsi"/>
          <w:shd w:val="clear" w:color="auto" w:fill="FFFFFF"/>
        </w:rPr>
        <w:t xml:space="preserve">As part of the consultation process, there will be a seminar in </w:t>
      </w:r>
      <w:r w:rsidR="00EB4FDE">
        <w:rPr>
          <w:rFonts w:asciiTheme="minorHAnsi" w:hAnsiTheme="minorHAnsi" w:cstheme="minorHAnsi"/>
          <w:shd w:val="clear" w:color="auto" w:fill="FFFFFF"/>
        </w:rPr>
        <w:t>early</w:t>
      </w:r>
      <w:r>
        <w:rPr>
          <w:rFonts w:asciiTheme="minorHAnsi" w:hAnsiTheme="minorHAnsi" w:cstheme="minorHAnsi"/>
          <w:shd w:val="clear" w:color="auto" w:fill="FFFFFF"/>
        </w:rPr>
        <w:t xml:space="preserve"> 2024. Please fill in the following form to register your interest: </w:t>
      </w:r>
      <w:hyperlink r:id="rId9" w:history="1">
        <w:r w:rsidRPr="003B05FE">
          <w:rPr>
            <w:rStyle w:val="Hyperlink"/>
            <w:rFonts w:asciiTheme="minorHAnsi" w:hAnsiTheme="minorHAnsi" w:cstheme="minorHAnsi"/>
            <w:b/>
            <w:bCs/>
            <w:color w:val="077565"/>
            <w:shd w:val="clear" w:color="auto" w:fill="FFFFFF"/>
          </w:rPr>
          <w:t>https://forms.office.com/e/QK04WXLwZG</w:t>
        </w:r>
      </w:hyperlink>
      <w:r w:rsidR="003B05FE" w:rsidRPr="00EB4FDE">
        <w:rPr>
          <w:rFonts w:asciiTheme="minorHAnsi" w:hAnsiTheme="minorHAnsi" w:cstheme="minorHAnsi"/>
          <w:shd w:val="clear" w:color="auto" w:fill="FFFFFF"/>
        </w:rPr>
        <w:t>.</w:t>
      </w:r>
    </w:p>
    <w:p w14:paraId="22E61454" w14:textId="3A335F57" w:rsidR="00724939" w:rsidRPr="00F15069" w:rsidRDefault="005A286A" w:rsidP="00A70C8A">
      <w:pPr>
        <w:rPr>
          <w:b/>
          <w:bCs/>
        </w:rPr>
      </w:pPr>
      <w:r>
        <w:rPr>
          <w:b/>
          <w:bCs/>
          <w:color w:val="077565"/>
        </w:rPr>
        <w:t>You must</w:t>
      </w:r>
      <w:r w:rsidR="008E5AA2" w:rsidRPr="00F15069">
        <w:rPr>
          <w:b/>
          <w:bCs/>
          <w:color w:val="077565"/>
        </w:rPr>
        <w:t xml:space="preserve"> fill in the following</w:t>
      </w:r>
      <w:r w:rsidR="00F15069" w:rsidRPr="00F15069">
        <w:rPr>
          <w:b/>
          <w:bCs/>
          <w:color w:val="077565"/>
        </w:rPr>
        <w:t xml:space="preserve"> before submitting your response:</w:t>
      </w:r>
    </w:p>
    <w:tbl>
      <w:tblPr>
        <w:tblStyle w:val="TableGrid"/>
        <w:tblW w:w="9067" w:type="dxa"/>
        <w:tblLook w:val="04A0" w:firstRow="1" w:lastRow="0" w:firstColumn="1" w:lastColumn="0" w:noHBand="0" w:noVBand="1"/>
      </w:tblPr>
      <w:tblGrid>
        <w:gridCol w:w="4390"/>
        <w:gridCol w:w="4677"/>
      </w:tblGrid>
      <w:tr w:rsidR="00724939" w14:paraId="00F346ED" w14:textId="77777777" w:rsidTr="00871C93">
        <w:tc>
          <w:tcPr>
            <w:tcW w:w="4390" w:type="dxa"/>
          </w:tcPr>
          <w:p w14:paraId="3E4D5A81" w14:textId="4A12232E" w:rsidR="00724939" w:rsidRPr="00B41A6E" w:rsidRDefault="00724939" w:rsidP="00A70C8A">
            <w:r w:rsidRPr="00B41A6E">
              <w:t>Your response is</w:t>
            </w:r>
            <w:r w:rsidR="00B41A6E">
              <w:t xml:space="preserve"> (public/anonymous/confidential):</w:t>
            </w:r>
          </w:p>
        </w:tc>
        <w:tc>
          <w:tcPr>
            <w:tcW w:w="4677" w:type="dxa"/>
          </w:tcPr>
          <w:p w14:paraId="3895E2F3" w14:textId="323F865B" w:rsidR="00724939" w:rsidRDefault="00724939" w:rsidP="00A70C8A"/>
        </w:tc>
      </w:tr>
      <w:tr w:rsidR="00724939" w14:paraId="14B3FA92" w14:textId="77777777" w:rsidTr="00871C93">
        <w:tc>
          <w:tcPr>
            <w:tcW w:w="4390" w:type="dxa"/>
          </w:tcPr>
          <w:p w14:paraId="0FF4A534" w14:textId="3B6212CA" w:rsidR="00724939" w:rsidRPr="00B41A6E" w:rsidRDefault="00724939" w:rsidP="00724939">
            <w:r w:rsidRPr="00B41A6E">
              <w:t>First name</w:t>
            </w:r>
            <w:r w:rsidR="00191774" w:rsidRPr="00B41A6E">
              <w:t>:</w:t>
            </w:r>
          </w:p>
        </w:tc>
        <w:tc>
          <w:tcPr>
            <w:tcW w:w="4677" w:type="dxa"/>
          </w:tcPr>
          <w:p w14:paraId="37726AB9" w14:textId="77777777" w:rsidR="00724939" w:rsidRDefault="00724939" w:rsidP="00A70C8A"/>
        </w:tc>
      </w:tr>
      <w:tr w:rsidR="00724939" w14:paraId="6B4C714D" w14:textId="77777777" w:rsidTr="00871C93">
        <w:tc>
          <w:tcPr>
            <w:tcW w:w="4390" w:type="dxa"/>
          </w:tcPr>
          <w:p w14:paraId="57A07A25" w14:textId="3C77B2BD" w:rsidR="00724939" w:rsidRPr="00B41A6E" w:rsidRDefault="00724939" w:rsidP="00A70C8A">
            <w:r w:rsidRPr="00B41A6E">
              <w:t>Last name</w:t>
            </w:r>
            <w:r w:rsidR="00191774" w:rsidRPr="00B41A6E">
              <w:t>:</w:t>
            </w:r>
          </w:p>
        </w:tc>
        <w:tc>
          <w:tcPr>
            <w:tcW w:w="4677" w:type="dxa"/>
          </w:tcPr>
          <w:p w14:paraId="427AC5BE" w14:textId="77777777" w:rsidR="00724939" w:rsidRDefault="00724939" w:rsidP="00A70C8A"/>
        </w:tc>
      </w:tr>
      <w:tr w:rsidR="00724939" w14:paraId="36A83641" w14:textId="77777777" w:rsidTr="00871C93">
        <w:tc>
          <w:tcPr>
            <w:tcW w:w="4390" w:type="dxa"/>
          </w:tcPr>
          <w:p w14:paraId="6EA3874A" w14:textId="498EDB77" w:rsidR="00724939" w:rsidRPr="00B41A6E" w:rsidRDefault="00724939" w:rsidP="00A70C8A">
            <w:r w:rsidRPr="00B41A6E">
              <w:t>Location</w:t>
            </w:r>
            <w:r w:rsidR="00191774" w:rsidRPr="00B41A6E">
              <w:t>:</w:t>
            </w:r>
          </w:p>
        </w:tc>
        <w:tc>
          <w:tcPr>
            <w:tcW w:w="4677" w:type="dxa"/>
          </w:tcPr>
          <w:p w14:paraId="128A0684" w14:textId="77777777" w:rsidR="00724939" w:rsidRDefault="00724939" w:rsidP="00A70C8A"/>
        </w:tc>
      </w:tr>
      <w:tr w:rsidR="00724939" w14:paraId="4F024676" w14:textId="77777777" w:rsidTr="00871C93">
        <w:tc>
          <w:tcPr>
            <w:tcW w:w="4390" w:type="dxa"/>
          </w:tcPr>
          <w:p w14:paraId="6E36354D" w14:textId="08863D19" w:rsidR="00724939" w:rsidRPr="00B41A6E" w:rsidRDefault="00724939" w:rsidP="00A70C8A">
            <w:r w:rsidRPr="00B41A6E">
              <w:t>Role</w:t>
            </w:r>
            <w:r w:rsidR="00191774" w:rsidRPr="00B41A6E">
              <w:t>:</w:t>
            </w:r>
          </w:p>
        </w:tc>
        <w:tc>
          <w:tcPr>
            <w:tcW w:w="4677" w:type="dxa"/>
          </w:tcPr>
          <w:p w14:paraId="30A7B513" w14:textId="77777777" w:rsidR="00724939" w:rsidRDefault="00724939" w:rsidP="00A70C8A"/>
        </w:tc>
      </w:tr>
      <w:tr w:rsidR="00724939" w14:paraId="56C20226" w14:textId="77777777" w:rsidTr="00871C93">
        <w:tc>
          <w:tcPr>
            <w:tcW w:w="4390" w:type="dxa"/>
          </w:tcPr>
          <w:p w14:paraId="2555EFAA" w14:textId="20E2ABE5" w:rsidR="00724939" w:rsidRPr="00B41A6E" w:rsidRDefault="00724939" w:rsidP="00A70C8A">
            <w:r w:rsidRPr="00B41A6E">
              <w:t>Job title</w:t>
            </w:r>
            <w:r w:rsidR="00191774" w:rsidRPr="00B41A6E">
              <w:t>:</w:t>
            </w:r>
          </w:p>
        </w:tc>
        <w:tc>
          <w:tcPr>
            <w:tcW w:w="4677" w:type="dxa"/>
          </w:tcPr>
          <w:p w14:paraId="6CD81B94" w14:textId="77777777" w:rsidR="00724939" w:rsidRDefault="00724939" w:rsidP="00A70C8A"/>
        </w:tc>
      </w:tr>
      <w:tr w:rsidR="00724939" w14:paraId="676699CD" w14:textId="77777777" w:rsidTr="00871C93">
        <w:tc>
          <w:tcPr>
            <w:tcW w:w="4390" w:type="dxa"/>
          </w:tcPr>
          <w:p w14:paraId="0B4AEC7E" w14:textId="32E9326E" w:rsidR="00724939" w:rsidRPr="00B41A6E" w:rsidRDefault="00724939" w:rsidP="00724939">
            <w:r w:rsidRPr="00B41A6E">
              <w:t>Organisation</w:t>
            </w:r>
            <w:r w:rsidR="00191774" w:rsidRPr="00B41A6E">
              <w:t>:</w:t>
            </w:r>
          </w:p>
        </w:tc>
        <w:tc>
          <w:tcPr>
            <w:tcW w:w="4677" w:type="dxa"/>
          </w:tcPr>
          <w:p w14:paraId="545F4F00" w14:textId="77777777" w:rsidR="00724939" w:rsidRDefault="00724939" w:rsidP="00A70C8A"/>
        </w:tc>
      </w:tr>
      <w:tr w:rsidR="00724939" w14:paraId="1A3BBD53" w14:textId="77777777" w:rsidTr="00871C93">
        <w:tc>
          <w:tcPr>
            <w:tcW w:w="4390" w:type="dxa"/>
          </w:tcPr>
          <w:p w14:paraId="15019A09" w14:textId="7EB2B926" w:rsidR="00724939" w:rsidRPr="00B41A6E" w:rsidRDefault="00724939" w:rsidP="00724939">
            <w:r w:rsidRPr="00B41A6E">
              <w:t>Are you responding on behalf of your organisation?</w:t>
            </w:r>
          </w:p>
        </w:tc>
        <w:tc>
          <w:tcPr>
            <w:tcW w:w="4677" w:type="dxa"/>
          </w:tcPr>
          <w:p w14:paraId="797F0DA7" w14:textId="77777777" w:rsidR="00724939" w:rsidRDefault="00724939" w:rsidP="00A70C8A"/>
        </w:tc>
      </w:tr>
      <w:tr w:rsidR="00724939" w14:paraId="314E6AD9" w14:textId="77777777" w:rsidTr="00871C93">
        <w:tc>
          <w:tcPr>
            <w:tcW w:w="4390" w:type="dxa"/>
          </w:tcPr>
          <w:p w14:paraId="7A321000" w14:textId="089E29C7" w:rsidR="00724939" w:rsidRPr="00B41A6E" w:rsidRDefault="00724939" w:rsidP="00724939">
            <w:r w:rsidRPr="00B41A6E">
              <w:t>Your email address:</w:t>
            </w:r>
          </w:p>
        </w:tc>
        <w:tc>
          <w:tcPr>
            <w:tcW w:w="4677" w:type="dxa"/>
          </w:tcPr>
          <w:p w14:paraId="6D9CBEBE" w14:textId="77777777" w:rsidR="00724939" w:rsidRDefault="00724939" w:rsidP="00A70C8A"/>
        </w:tc>
      </w:tr>
    </w:tbl>
    <w:p w14:paraId="152B750C" w14:textId="5D64084C" w:rsidR="00724939" w:rsidRDefault="00724939" w:rsidP="00A70C8A"/>
    <w:p w14:paraId="602ACAF5" w14:textId="77777777" w:rsidR="00385552" w:rsidRPr="002E0135" w:rsidRDefault="00385552" w:rsidP="00385552">
      <w:pPr>
        <w:rPr>
          <w:rFonts w:asciiTheme="minorHAnsi" w:hAnsiTheme="minorHAnsi" w:cstheme="minorHAnsi"/>
          <w:b/>
          <w:bCs/>
          <w:color w:val="077565"/>
          <w:shd w:val="clear" w:color="auto" w:fill="FFFFFF"/>
        </w:rPr>
      </w:pPr>
      <w:r w:rsidRPr="002E0135">
        <w:rPr>
          <w:rFonts w:asciiTheme="minorHAnsi" w:hAnsiTheme="minorHAnsi" w:cstheme="minorHAnsi"/>
          <w:b/>
          <w:bCs/>
          <w:color w:val="077565"/>
          <w:shd w:val="clear" w:color="auto" w:fill="FFFFFF"/>
        </w:rPr>
        <w:t xml:space="preserve">Information provided to the Civil Justice Council: </w:t>
      </w:r>
    </w:p>
    <w:p w14:paraId="64B911B6" w14:textId="77777777" w:rsidR="00385552" w:rsidRDefault="00385552" w:rsidP="00385552">
      <w:pPr>
        <w:spacing w:after="120"/>
        <w:rPr>
          <w:rFonts w:asciiTheme="minorHAnsi" w:hAnsiTheme="minorHAnsi" w:cstheme="minorHAnsi"/>
        </w:rPr>
      </w:pPr>
      <w:r w:rsidRPr="0019236A">
        <w:rPr>
          <w:rFonts w:asciiTheme="minorHAnsi" w:hAnsiTheme="minorHAnsi" w:cstheme="minorHAnsi"/>
          <w:shd w:val="clear" w:color="auto" w:fill="FFFFFF"/>
        </w:rPr>
        <w:t xml:space="preserve">We aim to be transparent and to explain the basis on which conclusions have been reached. We may publish or disclose information you provide in response to Civil Justice Council papers, including personal information. For example, we may publish an extract of your response in Civil Justice Council </w:t>
      </w:r>
      <w:proofErr w:type="gramStart"/>
      <w:r w:rsidRPr="0019236A">
        <w:rPr>
          <w:rFonts w:asciiTheme="minorHAnsi" w:hAnsiTheme="minorHAnsi" w:cstheme="minorHAnsi"/>
          <w:shd w:val="clear" w:color="auto" w:fill="FFFFFF"/>
        </w:rPr>
        <w:t>publications, or</w:t>
      </w:r>
      <w:proofErr w:type="gramEnd"/>
      <w:r w:rsidRPr="0019236A">
        <w:rPr>
          <w:rFonts w:asciiTheme="minorHAnsi" w:hAnsiTheme="minorHAnsi" w:cstheme="minorHAnsi"/>
          <w:shd w:val="clear" w:color="auto" w:fill="FFFFFF"/>
        </w:rPr>
        <w:t xml:space="preserve"> publish the response itself. Additionally, we may be required to disclose the information, such as in accordance with the Freedom of Information Act 2000. We will process your personal data in accordance with the General Data Protection Regulation.</w:t>
      </w:r>
    </w:p>
    <w:p w14:paraId="2AE964DC" w14:textId="77777777" w:rsidR="00385552" w:rsidRDefault="00385552" w:rsidP="00385552">
      <w:pPr>
        <w:spacing w:after="120"/>
        <w:rPr>
          <w:rFonts w:asciiTheme="minorHAnsi" w:hAnsiTheme="minorHAnsi" w:cstheme="minorHAnsi"/>
        </w:rPr>
      </w:pPr>
      <w:r w:rsidRPr="0019236A">
        <w:rPr>
          <w:rFonts w:asciiTheme="minorHAnsi" w:hAnsiTheme="minorHAnsi" w:cstheme="minorHAnsi"/>
          <w:shd w:val="clear" w:color="auto" w:fill="FFFFFF"/>
        </w:rPr>
        <w:t xml:space="preserve">Consultation responses are most effective where we </w:t>
      </w:r>
      <w:proofErr w:type="gramStart"/>
      <w:r w:rsidRPr="0019236A">
        <w:rPr>
          <w:rFonts w:asciiTheme="minorHAnsi" w:hAnsiTheme="minorHAnsi" w:cstheme="minorHAnsi"/>
          <w:shd w:val="clear" w:color="auto" w:fill="FFFFFF"/>
        </w:rPr>
        <w:t>are able to</w:t>
      </w:r>
      <w:proofErr w:type="gramEnd"/>
      <w:r w:rsidRPr="0019236A">
        <w:rPr>
          <w:rFonts w:asciiTheme="minorHAnsi" w:hAnsiTheme="minorHAnsi" w:cstheme="minorHAnsi"/>
          <w:shd w:val="clear" w:color="auto" w:fill="FFFFFF"/>
        </w:rPr>
        <w:t xml:space="preserve"> report which consultees responded to us, and what they said. If you consider that it is necessary for all or some of the information that you provide to be treated as confidential and so neither published nor disclosed, please contact us before sending it. Please limit the confidential material to the minimum, clearly identify it and explain why you want it to be confidential. We cannot guarantee that confidentiality can be maintained in all circumstances and an automatic disclaimer generated by your IT system will not be regarded as binding on the Civil Justice Council.</w:t>
      </w:r>
    </w:p>
    <w:p w14:paraId="56CF1B6B" w14:textId="77777777" w:rsidR="00385552" w:rsidRDefault="00385552" w:rsidP="00385552">
      <w:pPr>
        <w:spacing w:after="120"/>
        <w:rPr>
          <w:rFonts w:asciiTheme="minorHAnsi" w:hAnsiTheme="minorHAnsi" w:cstheme="minorHAnsi"/>
        </w:rPr>
      </w:pPr>
      <w:r w:rsidRPr="0019236A">
        <w:rPr>
          <w:rFonts w:asciiTheme="minorHAnsi" w:hAnsiTheme="minorHAnsi" w:cstheme="minorHAnsi"/>
          <w:shd w:val="clear" w:color="auto" w:fill="FFFFFF"/>
        </w:rPr>
        <w:t xml:space="preserve">Alternatively, you may want your response to be anonymous. That means that we may refer to what you say in your </w:t>
      </w:r>
      <w:proofErr w:type="gramStart"/>
      <w:r w:rsidRPr="0019236A">
        <w:rPr>
          <w:rFonts w:asciiTheme="minorHAnsi" w:hAnsiTheme="minorHAnsi" w:cstheme="minorHAnsi"/>
          <w:shd w:val="clear" w:color="auto" w:fill="FFFFFF"/>
        </w:rPr>
        <w:t>response, but</w:t>
      </w:r>
      <w:proofErr w:type="gramEnd"/>
      <w:r w:rsidRPr="0019236A">
        <w:rPr>
          <w:rFonts w:asciiTheme="minorHAnsi" w:hAnsiTheme="minorHAnsi" w:cstheme="minorHAnsi"/>
          <w:shd w:val="clear" w:color="auto" w:fill="FFFFFF"/>
        </w:rPr>
        <w:t xml:space="preserve"> will not reveal that the information came from you. You might want your response to be anonymous because it contains sensitive information about you or your organisation, or because you are worried about other people knowing what you have said to us.</w:t>
      </w:r>
    </w:p>
    <w:p w14:paraId="4E9EE073" w14:textId="51A71467" w:rsidR="00385552" w:rsidRPr="00385552" w:rsidRDefault="00385552" w:rsidP="00385552">
      <w:pPr>
        <w:spacing w:after="240"/>
        <w:rPr>
          <w:rFonts w:asciiTheme="minorHAnsi" w:hAnsiTheme="minorHAnsi" w:cstheme="minorHAnsi"/>
          <w:shd w:val="clear" w:color="auto" w:fill="FFFFFF"/>
        </w:rPr>
      </w:pPr>
      <w:r w:rsidRPr="0019236A">
        <w:rPr>
          <w:rFonts w:asciiTheme="minorHAnsi" w:hAnsiTheme="minorHAnsi" w:cstheme="minorHAnsi"/>
          <w:shd w:val="clear" w:color="auto" w:fill="FFFFFF"/>
        </w:rPr>
        <w:t>We list who responded to our consultations in our reports. If you provide a confidential response your name will appear in that list. If your response is anonymous</w:t>
      </w:r>
      <w:r>
        <w:rPr>
          <w:rFonts w:asciiTheme="minorHAnsi" w:hAnsiTheme="minorHAnsi" w:cstheme="minorHAnsi"/>
          <w:shd w:val="clear" w:color="auto" w:fill="FFFFFF"/>
        </w:rPr>
        <w:t>,</w:t>
      </w:r>
      <w:r w:rsidRPr="0019236A">
        <w:rPr>
          <w:rFonts w:asciiTheme="minorHAnsi" w:hAnsiTheme="minorHAnsi" w:cstheme="minorHAnsi"/>
          <w:shd w:val="clear" w:color="auto" w:fill="FFFFFF"/>
        </w:rPr>
        <w:t xml:space="preserve"> we will not include your name in the list unless you have given us permission to do so.</w:t>
      </w:r>
      <w:r>
        <w:rPr>
          <w:rFonts w:asciiTheme="minorHAnsi" w:hAnsiTheme="minorHAnsi" w:cstheme="minorHAnsi"/>
          <w:shd w:val="clear" w:color="auto" w:fill="FFFFFF"/>
        </w:rPr>
        <w:t xml:space="preserve"> Please let us know if you wish your response to be anonymous or confidential.</w:t>
      </w:r>
    </w:p>
    <w:p w14:paraId="793A5D62" w14:textId="77777777" w:rsidR="005A286A" w:rsidRDefault="005A286A" w:rsidP="00385552">
      <w:pPr>
        <w:spacing w:after="160" w:line="259" w:lineRule="auto"/>
        <w:rPr>
          <w:b/>
          <w:bCs/>
          <w:color w:val="077565"/>
        </w:rPr>
      </w:pPr>
    </w:p>
    <w:p w14:paraId="3A5C953D" w14:textId="77777777" w:rsidR="005A286A" w:rsidRDefault="005A286A" w:rsidP="00385552">
      <w:pPr>
        <w:spacing w:after="160" w:line="259" w:lineRule="auto"/>
        <w:rPr>
          <w:b/>
          <w:bCs/>
          <w:color w:val="077565"/>
        </w:rPr>
      </w:pPr>
    </w:p>
    <w:p w14:paraId="043DC125" w14:textId="68CA68F1" w:rsidR="005A286A" w:rsidRDefault="005A286A" w:rsidP="005A286A">
      <w:pPr>
        <w:spacing w:after="160" w:line="259" w:lineRule="auto"/>
      </w:pPr>
      <w:r>
        <w:rPr>
          <w:b/>
          <w:bCs/>
          <w:color w:val="077565"/>
        </w:rPr>
        <w:lastRenderedPageBreak/>
        <w:t>The full list of consultation questions is copied below for ease:</w:t>
      </w:r>
      <w:bookmarkStart w:id="0" w:name="_Hlk153529633"/>
    </w:p>
    <w:p w14:paraId="1B2E8DF1" w14:textId="2116D6DE" w:rsidR="005A286A" w:rsidRDefault="005A286A" w:rsidP="005A286A">
      <w:pPr>
        <w:pStyle w:val="Heading3"/>
        <w:rPr>
          <w:rFonts w:eastAsiaTheme="minorHAnsi"/>
        </w:rPr>
      </w:pPr>
      <w:r>
        <w:rPr>
          <w:rFonts w:eastAsiaTheme="minorHAnsi"/>
        </w:rPr>
        <w:t>NATURE OF THE ISSUE AND THE ROLE OF THE COURT</w:t>
      </w:r>
    </w:p>
    <w:p w14:paraId="64081E41" w14:textId="77777777" w:rsidR="005A286A" w:rsidRDefault="005A286A" w:rsidP="005A286A">
      <w:pPr>
        <w:spacing w:before="240"/>
        <w:ind w:left="426" w:hanging="426"/>
        <w:jc w:val="both"/>
        <w:rPr>
          <w:b/>
          <w:bCs/>
          <w:szCs w:val="24"/>
        </w:rPr>
      </w:pPr>
      <w:r>
        <w:rPr>
          <w:b/>
          <w:bCs/>
        </w:rPr>
        <w:t>1) Do you agree that other parties to the litigation do not generally have any legitimate interest in the outcome of the determination of a party’s current litigation capacity?</w:t>
      </w:r>
    </w:p>
    <w:p w14:paraId="267D9D4C" w14:textId="77777777" w:rsidR="005A286A" w:rsidRDefault="005A286A" w:rsidP="005A286A">
      <w:pPr>
        <w:pStyle w:val="ListParagraph"/>
        <w:numPr>
          <w:ilvl w:val="0"/>
          <w:numId w:val="9"/>
        </w:numPr>
        <w:spacing w:before="240" w:line="360" w:lineRule="auto"/>
        <w:ind w:left="426" w:hanging="426"/>
        <w:jc w:val="both"/>
        <w:rPr>
          <w:b/>
          <w:bCs/>
        </w:rPr>
      </w:pPr>
      <w:r>
        <w:rPr>
          <w:b/>
          <w:bCs/>
        </w:rPr>
        <w:t xml:space="preserve">Do you agree that the approach to the issue should be inquisitorial, with the court ultimately responsible for deciding what evidence it needs to determine the issue? </w:t>
      </w:r>
    </w:p>
    <w:p w14:paraId="3C0845D9" w14:textId="77777777" w:rsidR="005A286A" w:rsidRDefault="005A286A" w:rsidP="005A286A">
      <w:pPr>
        <w:pStyle w:val="Heading3"/>
      </w:pPr>
      <w:r>
        <w:t>IDENTIFICATION OF THE ISSUE</w:t>
      </w:r>
    </w:p>
    <w:p w14:paraId="246C7C7C" w14:textId="77777777" w:rsidR="005A286A" w:rsidRDefault="005A286A" w:rsidP="005A286A">
      <w:pPr>
        <w:pStyle w:val="ListParagraph"/>
        <w:numPr>
          <w:ilvl w:val="0"/>
          <w:numId w:val="9"/>
        </w:numPr>
        <w:spacing w:before="240" w:line="360" w:lineRule="auto"/>
        <w:ind w:left="426" w:hanging="426"/>
        <w:jc w:val="both"/>
        <w:rPr>
          <w:b/>
          <w:bCs/>
        </w:rPr>
      </w:pPr>
      <w:r>
        <w:rPr>
          <w:b/>
          <w:bCs/>
        </w:rPr>
        <w:t xml:space="preserve">Is clearer guidance needed as to the duty on </w:t>
      </w:r>
      <w:r>
        <w:rPr>
          <w:b/>
          <w:bCs/>
          <w:i/>
          <w:iCs/>
          <w:u w:val="single"/>
        </w:rPr>
        <w:t>legal representatives</w:t>
      </w:r>
      <w:r>
        <w:rPr>
          <w:b/>
          <w:bCs/>
        </w:rPr>
        <w:t xml:space="preserve"> to raise with the court an issue as to the litigation capacity of their </w:t>
      </w:r>
      <w:r>
        <w:rPr>
          <w:b/>
          <w:bCs/>
          <w:i/>
          <w:iCs/>
          <w:u w:val="single"/>
        </w:rPr>
        <w:t>own client</w:t>
      </w:r>
      <w:r>
        <w:rPr>
          <w:b/>
          <w:bCs/>
        </w:rPr>
        <w:t xml:space="preserve">? </w:t>
      </w:r>
    </w:p>
    <w:p w14:paraId="70F0750A" w14:textId="77777777" w:rsidR="005A286A" w:rsidRDefault="005A286A" w:rsidP="005A286A">
      <w:pPr>
        <w:pStyle w:val="ListParagraph"/>
        <w:numPr>
          <w:ilvl w:val="0"/>
          <w:numId w:val="9"/>
        </w:numPr>
        <w:spacing w:before="240" w:line="360" w:lineRule="auto"/>
        <w:ind w:left="357" w:hanging="357"/>
        <w:jc w:val="both"/>
        <w:rPr>
          <w:b/>
          <w:bCs/>
        </w:rPr>
      </w:pPr>
      <w:r>
        <w:rPr>
          <w:b/>
          <w:bCs/>
        </w:rPr>
        <w:t>What level of belief or evidence should trigger such a duty?</w:t>
      </w:r>
    </w:p>
    <w:p w14:paraId="53C6F239" w14:textId="77777777" w:rsidR="005A286A" w:rsidRDefault="005A286A" w:rsidP="005A286A">
      <w:pPr>
        <w:pStyle w:val="ListParagraph"/>
        <w:numPr>
          <w:ilvl w:val="0"/>
          <w:numId w:val="9"/>
        </w:numPr>
        <w:spacing w:before="240" w:line="360" w:lineRule="auto"/>
        <w:ind w:left="357" w:hanging="357"/>
        <w:jc w:val="both"/>
        <w:rPr>
          <w:b/>
          <w:bCs/>
        </w:rPr>
      </w:pPr>
      <w:r>
        <w:rPr>
          <w:b/>
          <w:bCs/>
        </w:rPr>
        <w:t xml:space="preserve">Is clearer guidance needed as to the duty on </w:t>
      </w:r>
      <w:r>
        <w:rPr>
          <w:b/>
          <w:bCs/>
          <w:i/>
          <w:iCs/>
          <w:u w:val="single"/>
        </w:rPr>
        <w:t>legal representatives</w:t>
      </w:r>
      <w:r>
        <w:rPr>
          <w:b/>
          <w:bCs/>
        </w:rPr>
        <w:t xml:space="preserve"> to raise with the court an issue as to the litigation capacity of </w:t>
      </w:r>
      <w:r>
        <w:rPr>
          <w:b/>
          <w:bCs/>
          <w:i/>
          <w:iCs/>
          <w:u w:val="single"/>
        </w:rPr>
        <w:t>another party</w:t>
      </w:r>
      <w:r>
        <w:rPr>
          <w:b/>
          <w:bCs/>
        </w:rPr>
        <w:t xml:space="preserve"> to the proceedings who is unrepresented? </w:t>
      </w:r>
    </w:p>
    <w:p w14:paraId="12475CA3" w14:textId="77777777" w:rsidR="005A286A" w:rsidRDefault="005A286A" w:rsidP="005A286A">
      <w:pPr>
        <w:pStyle w:val="ListParagraph"/>
        <w:numPr>
          <w:ilvl w:val="0"/>
          <w:numId w:val="9"/>
        </w:numPr>
        <w:spacing w:before="240" w:line="360" w:lineRule="auto"/>
        <w:ind w:left="357" w:hanging="357"/>
        <w:jc w:val="both"/>
        <w:rPr>
          <w:b/>
          <w:bCs/>
        </w:rPr>
      </w:pPr>
      <w:r>
        <w:rPr>
          <w:b/>
          <w:bCs/>
        </w:rPr>
        <w:t>What level of belief or evidence should trigger such a duty?</w:t>
      </w:r>
    </w:p>
    <w:p w14:paraId="56B98A38" w14:textId="77777777" w:rsidR="005A286A" w:rsidRDefault="005A286A" w:rsidP="005A286A">
      <w:pPr>
        <w:pStyle w:val="ListParagraph"/>
        <w:numPr>
          <w:ilvl w:val="0"/>
          <w:numId w:val="9"/>
        </w:numPr>
        <w:spacing w:before="240" w:line="360" w:lineRule="auto"/>
        <w:ind w:left="357" w:hanging="357"/>
        <w:jc w:val="both"/>
        <w:rPr>
          <w:b/>
          <w:bCs/>
        </w:rPr>
      </w:pPr>
      <w:r>
        <w:rPr>
          <w:b/>
          <w:bCs/>
        </w:rPr>
        <w:t xml:space="preserve">Should </w:t>
      </w:r>
      <w:r>
        <w:rPr>
          <w:b/>
          <w:bCs/>
          <w:i/>
          <w:iCs/>
          <w:u w:val="single"/>
        </w:rPr>
        <w:t>other parties</w:t>
      </w:r>
      <w:r>
        <w:rPr>
          <w:b/>
          <w:bCs/>
        </w:rPr>
        <w:t xml:space="preserve"> to proceedings have a general duty to raise with the court an issue as to the litigation capacity of a party to the proceedings who is unrepresented:</w:t>
      </w:r>
    </w:p>
    <w:p w14:paraId="26F8583E" w14:textId="77777777" w:rsidR="005A286A" w:rsidRDefault="005A286A" w:rsidP="005A286A">
      <w:pPr>
        <w:pStyle w:val="ListParagraph"/>
        <w:numPr>
          <w:ilvl w:val="1"/>
          <w:numId w:val="9"/>
        </w:numPr>
        <w:spacing w:before="120" w:line="360" w:lineRule="auto"/>
        <w:ind w:left="1077" w:hanging="357"/>
        <w:jc w:val="both"/>
        <w:rPr>
          <w:b/>
          <w:bCs/>
        </w:rPr>
      </w:pPr>
      <w:r>
        <w:rPr>
          <w:b/>
          <w:bCs/>
        </w:rPr>
        <w:t>In all cases?</w:t>
      </w:r>
    </w:p>
    <w:p w14:paraId="205E0A75" w14:textId="77777777" w:rsidR="005A286A" w:rsidRDefault="005A286A" w:rsidP="005A286A">
      <w:pPr>
        <w:pStyle w:val="ListParagraph"/>
        <w:numPr>
          <w:ilvl w:val="1"/>
          <w:numId w:val="9"/>
        </w:numPr>
        <w:spacing w:before="120" w:line="360" w:lineRule="auto"/>
        <w:ind w:left="1077" w:hanging="357"/>
        <w:jc w:val="both"/>
        <w:rPr>
          <w:b/>
          <w:bCs/>
        </w:rPr>
      </w:pPr>
      <w:r>
        <w:rPr>
          <w:b/>
          <w:bCs/>
        </w:rPr>
        <w:t>In some cases (</w:t>
      </w:r>
      <w:proofErr w:type="gramStart"/>
      <w:r>
        <w:rPr>
          <w:b/>
          <w:bCs/>
        </w:rPr>
        <w:t>e.g.</w:t>
      </w:r>
      <w:proofErr w:type="gramEnd"/>
      <w:r>
        <w:rPr>
          <w:b/>
          <w:bCs/>
        </w:rPr>
        <w:t xml:space="preserve"> where the other party is a public body, insurer etc.)?</w:t>
      </w:r>
    </w:p>
    <w:p w14:paraId="52C3EC5D" w14:textId="77777777" w:rsidR="005A286A" w:rsidRDefault="005A286A" w:rsidP="005A286A">
      <w:pPr>
        <w:pStyle w:val="ListParagraph"/>
        <w:numPr>
          <w:ilvl w:val="0"/>
          <w:numId w:val="9"/>
        </w:numPr>
        <w:spacing w:before="120" w:line="360" w:lineRule="auto"/>
        <w:jc w:val="both"/>
        <w:rPr>
          <w:b/>
          <w:bCs/>
        </w:rPr>
      </w:pPr>
      <w:r>
        <w:rPr>
          <w:b/>
        </w:rPr>
        <w:t>If so, what level of belief or evidence should trigger such a duty?</w:t>
      </w:r>
    </w:p>
    <w:p w14:paraId="414F9F06" w14:textId="77777777" w:rsidR="005A286A" w:rsidRDefault="005A286A" w:rsidP="005A286A">
      <w:pPr>
        <w:pStyle w:val="ListParagraph"/>
        <w:numPr>
          <w:ilvl w:val="0"/>
          <w:numId w:val="9"/>
        </w:numPr>
        <w:spacing w:before="240" w:line="360" w:lineRule="auto"/>
        <w:ind w:left="357" w:hanging="357"/>
        <w:jc w:val="both"/>
        <w:rPr>
          <w:b/>
        </w:rPr>
      </w:pPr>
      <w:r>
        <w:rPr>
          <w:b/>
          <w:bCs/>
        </w:rPr>
        <w:t xml:space="preserve">Should </w:t>
      </w:r>
      <w:r>
        <w:rPr>
          <w:b/>
        </w:rPr>
        <w:t xml:space="preserve">the Pre-Action Protocols </w:t>
      </w:r>
      <w:r>
        <w:rPr>
          <w:b/>
          <w:bCs/>
        </w:rPr>
        <w:t>be</w:t>
      </w:r>
      <w:r>
        <w:rPr>
          <w:b/>
        </w:rPr>
        <w:t xml:space="preserve"> amended to </w:t>
      </w:r>
      <w:r>
        <w:rPr>
          <w:b/>
          <w:bCs/>
        </w:rPr>
        <w:t>require parties</w:t>
      </w:r>
      <w:r>
        <w:rPr>
          <w:b/>
        </w:rPr>
        <w:t xml:space="preserve"> to </w:t>
      </w:r>
      <w:r>
        <w:rPr>
          <w:b/>
          <w:bCs/>
        </w:rPr>
        <w:t>identify</w:t>
      </w:r>
      <w:r>
        <w:rPr>
          <w:b/>
        </w:rPr>
        <w:t xml:space="preserve"> issues of potential lack of litigation capacity at the pre-</w:t>
      </w:r>
      <w:r>
        <w:rPr>
          <w:b/>
          <w:bCs/>
        </w:rPr>
        <w:t>action</w:t>
      </w:r>
      <w:r>
        <w:rPr>
          <w:b/>
        </w:rPr>
        <w:t xml:space="preserve"> stage? </w:t>
      </w:r>
    </w:p>
    <w:p w14:paraId="269490F5" w14:textId="77777777" w:rsidR="005A286A" w:rsidRDefault="005A286A" w:rsidP="005A286A">
      <w:pPr>
        <w:pStyle w:val="ListParagraph"/>
        <w:numPr>
          <w:ilvl w:val="0"/>
          <w:numId w:val="9"/>
        </w:numPr>
        <w:spacing w:before="240" w:line="360" w:lineRule="auto"/>
        <w:ind w:left="357" w:hanging="357"/>
        <w:jc w:val="both"/>
        <w:rPr>
          <w:b/>
        </w:rPr>
      </w:pPr>
      <w:r>
        <w:rPr>
          <w:b/>
        </w:rPr>
        <w:t>Should key court forms (</w:t>
      </w:r>
      <w:r>
        <w:rPr>
          <w:b/>
          <w:bCs/>
        </w:rPr>
        <w:t>claim forms, acknowledgments</w:t>
      </w:r>
      <w:r>
        <w:rPr>
          <w:b/>
        </w:rPr>
        <w:t xml:space="preserve"> of </w:t>
      </w:r>
      <w:r>
        <w:rPr>
          <w:b/>
          <w:bCs/>
        </w:rPr>
        <w:t>service</w:t>
      </w:r>
      <w:r>
        <w:rPr>
          <w:b/>
        </w:rPr>
        <w:t xml:space="preserve"> and </w:t>
      </w:r>
      <w:r>
        <w:rPr>
          <w:b/>
          <w:bCs/>
        </w:rPr>
        <w:t>defence forms</w:t>
      </w:r>
      <w:r>
        <w:rPr>
          <w:b/>
        </w:rPr>
        <w:t>) be amended to include questions about whether another party may lack litigation capacity?</w:t>
      </w:r>
    </w:p>
    <w:p w14:paraId="2C89D06F" w14:textId="77777777" w:rsidR="005A286A" w:rsidRDefault="005A286A" w:rsidP="005A286A">
      <w:pPr>
        <w:pStyle w:val="ListParagraph"/>
        <w:numPr>
          <w:ilvl w:val="0"/>
          <w:numId w:val="9"/>
        </w:numPr>
        <w:spacing w:before="240" w:line="360" w:lineRule="auto"/>
        <w:ind w:left="357" w:hanging="357"/>
        <w:jc w:val="both"/>
        <w:rPr>
          <w:b/>
        </w:rPr>
      </w:pPr>
      <w:r>
        <w:rPr>
          <w:b/>
        </w:rPr>
        <w:t xml:space="preserve">Should there be any </w:t>
      </w:r>
      <w:proofErr w:type="gramStart"/>
      <w:r>
        <w:rPr>
          <w:b/>
          <w:bCs/>
        </w:rPr>
        <w:t>particular sanction(s)</w:t>
      </w:r>
      <w:proofErr w:type="gramEnd"/>
      <w:r>
        <w:rPr>
          <w:b/>
        </w:rPr>
        <w:t xml:space="preserve"> for a clear failure by </w:t>
      </w:r>
      <w:r>
        <w:rPr>
          <w:b/>
          <w:bCs/>
        </w:rPr>
        <w:t>another party to raise the issue?</w:t>
      </w:r>
    </w:p>
    <w:p w14:paraId="3E0E0C77" w14:textId="77777777" w:rsidR="005A286A" w:rsidRDefault="005A286A" w:rsidP="005A286A">
      <w:pPr>
        <w:pStyle w:val="ListParagraph"/>
        <w:numPr>
          <w:ilvl w:val="0"/>
          <w:numId w:val="9"/>
        </w:numPr>
        <w:spacing w:before="240" w:line="360" w:lineRule="auto"/>
        <w:ind w:left="357" w:hanging="357"/>
        <w:jc w:val="both"/>
        <w:rPr>
          <w:b/>
        </w:rPr>
      </w:pPr>
      <w:r>
        <w:rPr>
          <w:b/>
        </w:rPr>
        <w:t xml:space="preserve">Do you have any examples of issues you have faced in practice when you have had to decide whether a client or another party was being ‘difficult’ or whether they might lack litigation capacity? If so, can you explain how these were dealt with. </w:t>
      </w:r>
    </w:p>
    <w:p w14:paraId="3C00F86A" w14:textId="77777777" w:rsidR="005A286A" w:rsidRDefault="005A286A" w:rsidP="005A286A">
      <w:pPr>
        <w:pStyle w:val="Heading3"/>
      </w:pPr>
      <w:r>
        <w:t>INVESTIGATION OF THE ISSUE</w:t>
      </w:r>
    </w:p>
    <w:p w14:paraId="0C46C36B" w14:textId="77777777" w:rsidR="005A286A" w:rsidRDefault="005A286A" w:rsidP="005A286A">
      <w:pPr>
        <w:pStyle w:val="ListParagraph"/>
        <w:numPr>
          <w:ilvl w:val="0"/>
          <w:numId w:val="9"/>
        </w:numPr>
        <w:spacing w:before="240" w:line="360" w:lineRule="auto"/>
        <w:ind w:left="357" w:hanging="357"/>
        <w:jc w:val="both"/>
        <w:rPr>
          <w:b/>
          <w:bCs/>
        </w:rPr>
      </w:pPr>
      <w:r>
        <w:rPr>
          <w:b/>
          <w:bCs/>
        </w:rPr>
        <w:t>Do you think any of the following should be involved in the investigation of an unrepresented party’s litigation capacity:</w:t>
      </w:r>
    </w:p>
    <w:p w14:paraId="11C3893C" w14:textId="77777777" w:rsidR="005A286A" w:rsidRDefault="005A286A" w:rsidP="005A286A">
      <w:pPr>
        <w:pStyle w:val="ListParagraph"/>
        <w:numPr>
          <w:ilvl w:val="1"/>
          <w:numId w:val="9"/>
        </w:numPr>
        <w:spacing w:before="120" w:line="360" w:lineRule="auto"/>
        <w:jc w:val="both"/>
        <w:rPr>
          <w:b/>
          <w:bCs/>
        </w:rPr>
      </w:pPr>
      <w:r>
        <w:rPr>
          <w:b/>
          <w:bCs/>
        </w:rPr>
        <w:t>The court?</w:t>
      </w:r>
    </w:p>
    <w:p w14:paraId="15748077" w14:textId="77777777" w:rsidR="005A286A" w:rsidRDefault="005A286A" w:rsidP="005A286A">
      <w:pPr>
        <w:pStyle w:val="ListParagraph"/>
        <w:numPr>
          <w:ilvl w:val="1"/>
          <w:numId w:val="9"/>
        </w:numPr>
        <w:spacing w:before="120" w:line="360" w:lineRule="auto"/>
        <w:jc w:val="both"/>
        <w:rPr>
          <w:b/>
          <w:bCs/>
        </w:rPr>
      </w:pPr>
      <w:r>
        <w:rPr>
          <w:b/>
          <w:bCs/>
        </w:rPr>
        <w:t>Other parties and/or their legal representatives?</w:t>
      </w:r>
    </w:p>
    <w:p w14:paraId="31711B84" w14:textId="77777777" w:rsidR="005A286A" w:rsidRDefault="005A286A" w:rsidP="005A286A">
      <w:pPr>
        <w:pStyle w:val="ListParagraph"/>
        <w:numPr>
          <w:ilvl w:val="1"/>
          <w:numId w:val="9"/>
        </w:numPr>
        <w:spacing w:before="120" w:line="360" w:lineRule="auto"/>
        <w:jc w:val="both"/>
        <w:rPr>
          <w:b/>
          <w:bCs/>
        </w:rPr>
      </w:pPr>
      <w:r>
        <w:rPr>
          <w:b/>
          <w:bCs/>
        </w:rPr>
        <w:t>The Official Solicitor (</w:t>
      </w:r>
      <w:r>
        <w:rPr>
          <w:b/>
          <w:bCs/>
          <w:i/>
          <w:iCs/>
        </w:rPr>
        <w:t xml:space="preserve">Harbin v </w:t>
      </w:r>
      <w:proofErr w:type="spellStart"/>
      <w:r>
        <w:rPr>
          <w:b/>
          <w:bCs/>
          <w:i/>
          <w:iCs/>
        </w:rPr>
        <w:t>Masterman</w:t>
      </w:r>
      <w:proofErr w:type="spellEnd"/>
      <w:r>
        <w:rPr>
          <w:b/>
          <w:bCs/>
          <w:i/>
          <w:iCs/>
        </w:rPr>
        <w:t xml:space="preserve"> </w:t>
      </w:r>
      <w:r>
        <w:rPr>
          <w:b/>
          <w:bCs/>
        </w:rPr>
        <w:t>enquiry)?</w:t>
      </w:r>
    </w:p>
    <w:p w14:paraId="5B3958F7" w14:textId="77777777" w:rsidR="005A286A" w:rsidRDefault="005A286A" w:rsidP="005A286A">
      <w:pPr>
        <w:pStyle w:val="ListParagraph"/>
        <w:numPr>
          <w:ilvl w:val="1"/>
          <w:numId w:val="9"/>
        </w:numPr>
        <w:spacing w:before="120" w:line="360" w:lineRule="auto"/>
        <w:jc w:val="both"/>
        <w:rPr>
          <w:b/>
          <w:bCs/>
        </w:rPr>
      </w:pPr>
      <w:r>
        <w:rPr>
          <w:b/>
          <w:bCs/>
        </w:rPr>
        <w:lastRenderedPageBreak/>
        <w:t>Litigation friend (interim declaration of incapacity)?</w:t>
      </w:r>
    </w:p>
    <w:p w14:paraId="4216D68B" w14:textId="77777777" w:rsidR="005A286A" w:rsidRDefault="005A286A" w:rsidP="005A286A">
      <w:pPr>
        <w:pStyle w:val="ListParagraph"/>
        <w:numPr>
          <w:ilvl w:val="1"/>
          <w:numId w:val="9"/>
        </w:numPr>
        <w:spacing w:before="120" w:line="360" w:lineRule="auto"/>
        <w:jc w:val="both"/>
        <w:rPr>
          <w:b/>
          <w:bCs/>
        </w:rPr>
      </w:pPr>
      <w:r>
        <w:rPr>
          <w:b/>
          <w:bCs/>
        </w:rPr>
        <w:t>Other (please specify)?</w:t>
      </w:r>
    </w:p>
    <w:p w14:paraId="01317209" w14:textId="77777777" w:rsidR="005A286A" w:rsidRDefault="005A286A" w:rsidP="005A286A">
      <w:pPr>
        <w:pStyle w:val="ListParagraph"/>
        <w:numPr>
          <w:ilvl w:val="0"/>
          <w:numId w:val="9"/>
        </w:numPr>
        <w:spacing w:before="240" w:line="360" w:lineRule="auto"/>
        <w:jc w:val="both"/>
        <w:rPr>
          <w:b/>
        </w:rPr>
      </w:pPr>
      <w:r>
        <w:rPr>
          <w:b/>
        </w:rPr>
        <w:t>Do you have any comments to make in relation to your answers to the previous question?</w:t>
      </w:r>
    </w:p>
    <w:p w14:paraId="60F06715" w14:textId="77777777" w:rsidR="005A286A" w:rsidRDefault="005A286A" w:rsidP="005A286A">
      <w:pPr>
        <w:pStyle w:val="ListParagraph"/>
        <w:numPr>
          <w:ilvl w:val="0"/>
          <w:numId w:val="9"/>
        </w:numPr>
        <w:spacing w:before="240" w:line="360" w:lineRule="auto"/>
        <w:jc w:val="both"/>
        <w:rPr>
          <w:b/>
        </w:rPr>
      </w:pPr>
      <w:r>
        <w:rPr>
          <w:b/>
          <w:bCs/>
        </w:rPr>
        <w:t xml:space="preserve">Should the civil courts have more clearly defined powers to order disclosure of relevant documents </w:t>
      </w:r>
      <w:r>
        <w:rPr>
          <w:b/>
        </w:rPr>
        <w:t>for the purpose of investigating litigation capacity?</w:t>
      </w:r>
    </w:p>
    <w:p w14:paraId="01AF8A18" w14:textId="77777777" w:rsidR="005A286A" w:rsidRDefault="005A286A" w:rsidP="005A286A">
      <w:pPr>
        <w:pStyle w:val="ListParagraph"/>
        <w:numPr>
          <w:ilvl w:val="0"/>
          <w:numId w:val="9"/>
        </w:numPr>
        <w:spacing w:before="240" w:line="360" w:lineRule="auto"/>
        <w:jc w:val="both"/>
        <w:rPr>
          <w:b/>
          <w:bCs/>
        </w:rPr>
      </w:pPr>
      <w:r>
        <w:rPr>
          <w:b/>
          <w:bCs/>
        </w:rPr>
        <w:t>If so, in what circumstances should such powers be exercised?</w:t>
      </w:r>
    </w:p>
    <w:p w14:paraId="46516427" w14:textId="77777777" w:rsidR="005A286A" w:rsidRDefault="005A286A" w:rsidP="005A286A">
      <w:pPr>
        <w:pStyle w:val="ListParagraph"/>
        <w:numPr>
          <w:ilvl w:val="0"/>
          <w:numId w:val="9"/>
        </w:numPr>
        <w:spacing w:before="240" w:line="360" w:lineRule="auto"/>
        <w:jc w:val="both"/>
        <w:rPr>
          <w:b/>
        </w:rPr>
      </w:pPr>
      <w:r>
        <w:rPr>
          <w:b/>
          <w:bCs/>
        </w:rPr>
        <w:t xml:space="preserve">Should the civil courts have powers to call for reports, </w:t>
      </w:r>
      <w:proofErr w:type="gramStart"/>
      <w:r>
        <w:rPr>
          <w:b/>
          <w:bCs/>
        </w:rPr>
        <w:t>similar to</w:t>
      </w:r>
      <w:proofErr w:type="gramEnd"/>
      <w:r>
        <w:rPr>
          <w:b/>
          <w:bCs/>
        </w:rPr>
        <w:t xml:space="preserve"> those of the Court of Protection, for </w:t>
      </w:r>
      <w:r>
        <w:rPr>
          <w:b/>
        </w:rPr>
        <w:t>purpose of investigating and determining issues of litigation capacity?</w:t>
      </w:r>
    </w:p>
    <w:p w14:paraId="3B7C172B" w14:textId="77777777" w:rsidR="005A286A" w:rsidRDefault="005A286A" w:rsidP="005A286A">
      <w:pPr>
        <w:pStyle w:val="Heading3"/>
      </w:pPr>
      <w:r>
        <w:t>DETERMINATION OF THE ISSUE</w:t>
      </w:r>
    </w:p>
    <w:p w14:paraId="2291A5CA" w14:textId="77777777" w:rsidR="005A286A" w:rsidRDefault="005A286A" w:rsidP="005A286A">
      <w:pPr>
        <w:pStyle w:val="ListParagraph"/>
        <w:numPr>
          <w:ilvl w:val="0"/>
          <w:numId w:val="9"/>
        </w:numPr>
        <w:spacing w:before="240" w:line="360" w:lineRule="auto"/>
        <w:ind w:hanging="357"/>
        <w:jc w:val="both"/>
        <w:rPr>
          <w:b/>
        </w:rPr>
      </w:pPr>
      <w:r>
        <w:rPr>
          <w:b/>
        </w:rPr>
        <w:t xml:space="preserve">Should </w:t>
      </w:r>
      <w:r>
        <w:rPr>
          <w:b/>
          <w:bCs/>
        </w:rPr>
        <w:t xml:space="preserve">there be a rule or presumption that other parties to the proceedings (and/or non-parties) cannot attend </w:t>
      </w:r>
      <w:r>
        <w:rPr>
          <w:b/>
        </w:rPr>
        <w:t>a hearing to determine a party’s litigation capacity</w:t>
      </w:r>
      <w:r>
        <w:rPr>
          <w:b/>
          <w:bCs/>
        </w:rPr>
        <w:t>?</w:t>
      </w:r>
    </w:p>
    <w:p w14:paraId="4891EFB4" w14:textId="77777777" w:rsidR="005A286A" w:rsidRDefault="005A286A" w:rsidP="005A286A">
      <w:pPr>
        <w:pStyle w:val="ListParagraph"/>
        <w:numPr>
          <w:ilvl w:val="0"/>
          <w:numId w:val="9"/>
        </w:numPr>
        <w:spacing w:before="240" w:line="360" w:lineRule="auto"/>
        <w:ind w:hanging="357"/>
        <w:jc w:val="both"/>
        <w:rPr>
          <w:b/>
        </w:rPr>
      </w:pPr>
      <w:r>
        <w:rPr>
          <w:b/>
        </w:rPr>
        <w:t xml:space="preserve">Should the party be granted anonymity </w:t>
      </w:r>
      <w:r>
        <w:rPr>
          <w:b/>
          <w:bCs/>
        </w:rPr>
        <w:t xml:space="preserve">and/or should reporting restrictions be imposed </w:t>
      </w:r>
      <w:r>
        <w:rPr>
          <w:b/>
        </w:rPr>
        <w:t xml:space="preserve">in </w:t>
      </w:r>
      <w:r>
        <w:rPr>
          <w:b/>
          <w:bCs/>
        </w:rPr>
        <w:t>relation</w:t>
      </w:r>
      <w:r>
        <w:rPr>
          <w:b/>
        </w:rPr>
        <w:t xml:space="preserve"> to the hearing</w:t>
      </w:r>
      <w:r>
        <w:rPr>
          <w:b/>
          <w:bCs/>
        </w:rPr>
        <w:t>?</w:t>
      </w:r>
    </w:p>
    <w:p w14:paraId="21A5A482" w14:textId="77777777" w:rsidR="005A286A" w:rsidRDefault="005A286A" w:rsidP="005A286A">
      <w:pPr>
        <w:pStyle w:val="ListParagraph"/>
        <w:numPr>
          <w:ilvl w:val="0"/>
          <w:numId w:val="9"/>
        </w:numPr>
        <w:spacing w:before="240" w:line="360" w:lineRule="auto"/>
        <w:ind w:hanging="357"/>
        <w:jc w:val="both"/>
        <w:rPr>
          <w:b/>
          <w:bCs/>
        </w:rPr>
      </w:pPr>
      <w:r>
        <w:rPr>
          <w:b/>
          <w:bCs/>
        </w:rPr>
        <w:t>What form should a party’s right to challenge a determination that they lack capacity take, to ensure they are able to exercise that right effectively?</w:t>
      </w:r>
    </w:p>
    <w:p w14:paraId="6AA4DA14" w14:textId="77777777" w:rsidR="005A286A" w:rsidRDefault="005A286A" w:rsidP="005A286A">
      <w:pPr>
        <w:pStyle w:val="ListParagraph"/>
        <w:numPr>
          <w:ilvl w:val="0"/>
          <w:numId w:val="9"/>
        </w:numPr>
        <w:spacing w:before="240" w:line="360" w:lineRule="auto"/>
        <w:ind w:hanging="357"/>
        <w:jc w:val="both"/>
        <w:rPr>
          <w:b/>
        </w:rPr>
      </w:pPr>
      <w:r>
        <w:rPr>
          <w:b/>
        </w:rPr>
        <w:t xml:space="preserve">Should a party’s legal representatives </w:t>
      </w:r>
      <w:r>
        <w:rPr>
          <w:b/>
          <w:bCs/>
        </w:rPr>
        <w:t>be able</w:t>
      </w:r>
      <w:r>
        <w:rPr>
          <w:b/>
        </w:rPr>
        <w:t xml:space="preserve"> to </w:t>
      </w:r>
      <w:r>
        <w:rPr>
          <w:b/>
          <w:bCs/>
        </w:rPr>
        <w:t>refer for review</w:t>
      </w:r>
      <w:r>
        <w:rPr>
          <w:b/>
        </w:rPr>
        <w:t xml:space="preserve"> a </w:t>
      </w:r>
      <w:r>
        <w:rPr>
          <w:b/>
          <w:bCs/>
        </w:rPr>
        <w:t>determination on</w:t>
      </w:r>
      <w:r>
        <w:rPr>
          <w:b/>
        </w:rPr>
        <w:t xml:space="preserve"> capacity</w:t>
      </w:r>
      <w:r>
        <w:rPr>
          <w:b/>
          <w:bCs/>
        </w:rPr>
        <w:t xml:space="preserve"> which they consider to be obviously and seriously flawed</w:t>
      </w:r>
      <w:r>
        <w:rPr>
          <w:b/>
        </w:rPr>
        <w:t>?</w:t>
      </w:r>
    </w:p>
    <w:p w14:paraId="514F1CB6" w14:textId="77777777" w:rsidR="005A286A" w:rsidRDefault="005A286A" w:rsidP="005A286A">
      <w:pPr>
        <w:pStyle w:val="Heading3"/>
      </w:pPr>
      <w:r>
        <w:t>SUBSTANTIVE PROCEEDINGS PENDING DETERMINATION</w:t>
      </w:r>
    </w:p>
    <w:p w14:paraId="630D5E16" w14:textId="77777777" w:rsidR="005A286A" w:rsidRDefault="005A286A" w:rsidP="005A286A">
      <w:pPr>
        <w:pStyle w:val="legclearfix"/>
        <w:numPr>
          <w:ilvl w:val="0"/>
          <w:numId w:val="9"/>
        </w:numPr>
        <w:shd w:val="clear" w:color="auto" w:fill="FFFFFF"/>
        <w:spacing w:before="240" w:beforeAutospacing="0" w:after="0" w:afterAutospacing="0" w:line="360" w:lineRule="auto"/>
        <w:jc w:val="both"/>
        <w:rPr>
          <w:rStyle w:val="legds"/>
          <w:rFonts w:eastAsiaTheme="minorHAnsi" w:cs="Calibri"/>
          <w:bCs/>
          <w:color w:val="000000"/>
          <w:sz w:val="23"/>
          <w:szCs w:val="23"/>
          <w:lang w:eastAsia="en-US"/>
        </w:rPr>
      </w:pPr>
      <w:r>
        <w:rPr>
          <w:rStyle w:val="legds"/>
          <w:rFonts w:ascii="Calibri" w:eastAsiaTheme="minorEastAsia" w:hAnsi="Calibri"/>
          <w:b/>
          <w:color w:val="000000"/>
        </w:rPr>
        <w:t xml:space="preserve">Do you agree that pending a hearing to determine </w:t>
      </w:r>
      <w:r>
        <w:rPr>
          <w:rStyle w:val="legds"/>
          <w:rFonts w:ascii="Calibri" w:eastAsiaTheme="minorEastAsia" w:hAnsi="Calibri" w:cs="Calibri"/>
          <w:b/>
          <w:bCs/>
          <w:color w:val="000000"/>
        </w:rPr>
        <w:t>a party’s litigation</w:t>
      </w:r>
      <w:r>
        <w:rPr>
          <w:rStyle w:val="legds"/>
          <w:rFonts w:ascii="Calibri" w:eastAsiaTheme="minorEastAsia" w:hAnsi="Calibri"/>
          <w:b/>
          <w:color w:val="000000"/>
        </w:rPr>
        <w:t xml:space="preserve"> capacity, the starting point should be that no steps </w:t>
      </w:r>
      <w:r>
        <w:rPr>
          <w:rStyle w:val="legds"/>
          <w:rFonts w:ascii="Calibri" w:eastAsiaTheme="minorEastAsia" w:hAnsi="Calibri" w:cs="Calibri"/>
          <w:b/>
          <w:bCs/>
          <w:color w:val="000000"/>
        </w:rPr>
        <w:t xml:space="preserve">may </w:t>
      </w:r>
      <w:r>
        <w:rPr>
          <w:rStyle w:val="legds"/>
          <w:rFonts w:ascii="Calibri" w:eastAsiaTheme="minorEastAsia" w:hAnsi="Calibri"/>
          <w:b/>
          <w:color w:val="000000"/>
        </w:rPr>
        <w:t xml:space="preserve">be taken </w:t>
      </w:r>
      <w:r>
        <w:rPr>
          <w:rStyle w:val="legds"/>
          <w:rFonts w:ascii="Calibri" w:eastAsiaTheme="minorEastAsia" w:hAnsi="Calibri" w:cs="Calibri"/>
          <w:b/>
          <w:bCs/>
          <w:color w:val="000000"/>
        </w:rPr>
        <w:t xml:space="preserve">in the proceedings </w:t>
      </w:r>
      <w:r>
        <w:rPr>
          <w:rStyle w:val="legds"/>
          <w:rFonts w:ascii="Calibri" w:eastAsiaTheme="minorEastAsia" w:hAnsi="Calibri"/>
          <w:b/>
          <w:color w:val="000000"/>
        </w:rPr>
        <w:t>without the permission of the court?</w:t>
      </w:r>
    </w:p>
    <w:p w14:paraId="12DF6862" w14:textId="77777777" w:rsidR="005A286A" w:rsidRDefault="005A286A" w:rsidP="005A286A">
      <w:pPr>
        <w:pStyle w:val="legclearfix"/>
        <w:numPr>
          <w:ilvl w:val="0"/>
          <w:numId w:val="9"/>
        </w:numPr>
        <w:shd w:val="clear" w:color="auto" w:fill="FFFFFF"/>
        <w:spacing w:before="240" w:beforeAutospacing="0" w:after="0" w:afterAutospacing="0" w:line="360" w:lineRule="auto"/>
        <w:jc w:val="both"/>
        <w:rPr>
          <w:rStyle w:val="legds"/>
          <w:rFonts w:ascii="Calibri" w:hAnsi="Calibri" w:cs="Calibri"/>
          <w:b/>
          <w:bCs/>
          <w:color w:val="000000"/>
        </w:rPr>
      </w:pPr>
      <w:r>
        <w:rPr>
          <w:rStyle w:val="legds"/>
          <w:rFonts w:ascii="Calibri" w:eastAsiaTheme="minorEastAsia" w:hAnsi="Calibri" w:cs="Calibri"/>
          <w:b/>
          <w:bCs/>
          <w:color w:val="000000"/>
        </w:rPr>
        <w:t>Do you agree that pending a hearing to determine a party’s litigation capacity, the starting point should be that any existing orders in the proceedings should be stayed?</w:t>
      </w:r>
    </w:p>
    <w:p w14:paraId="1FB42AC8" w14:textId="77777777" w:rsidR="005A286A" w:rsidRDefault="005A286A" w:rsidP="005A286A">
      <w:pPr>
        <w:pStyle w:val="legclearfix"/>
        <w:numPr>
          <w:ilvl w:val="0"/>
          <w:numId w:val="9"/>
        </w:numPr>
        <w:shd w:val="clear" w:color="auto" w:fill="FFFFFF"/>
        <w:spacing w:before="240" w:beforeAutospacing="0" w:after="0" w:afterAutospacing="0" w:line="360" w:lineRule="auto"/>
        <w:jc w:val="both"/>
        <w:rPr>
          <w:rStyle w:val="legds"/>
          <w:rFonts w:ascii="Calibri" w:eastAsiaTheme="minorEastAsia" w:hAnsi="Calibri"/>
          <w:b/>
          <w:color w:val="000000"/>
        </w:rPr>
      </w:pPr>
      <w:r>
        <w:rPr>
          <w:rStyle w:val="legds"/>
          <w:rFonts w:ascii="Calibri" w:eastAsiaTheme="minorEastAsia" w:hAnsi="Calibri"/>
          <w:b/>
          <w:color w:val="000000"/>
        </w:rPr>
        <w:t xml:space="preserve">If so, do you think </w:t>
      </w:r>
      <w:r>
        <w:rPr>
          <w:rStyle w:val="legds"/>
          <w:rFonts w:ascii="Calibri" w:eastAsiaTheme="minorEastAsia" w:hAnsi="Calibri" w:cs="Calibri"/>
          <w:b/>
          <w:bCs/>
          <w:color w:val="000000"/>
        </w:rPr>
        <w:t xml:space="preserve">those starting points should be subject to </w:t>
      </w:r>
      <w:r>
        <w:rPr>
          <w:rStyle w:val="legds"/>
          <w:rFonts w:ascii="Calibri" w:eastAsiaTheme="minorEastAsia" w:hAnsi="Calibri"/>
          <w:b/>
          <w:color w:val="000000"/>
        </w:rPr>
        <w:t>a ‘balance of harm’ test</w:t>
      </w:r>
      <w:r>
        <w:rPr>
          <w:rStyle w:val="legds"/>
          <w:rFonts w:ascii="Calibri" w:eastAsiaTheme="minorEastAsia" w:hAnsi="Calibri" w:cs="Calibri"/>
          <w:b/>
          <w:bCs/>
          <w:color w:val="000000"/>
        </w:rPr>
        <w:t>?</w:t>
      </w:r>
      <w:r>
        <w:rPr>
          <w:rStyle w:val="legds"/>
          <w:rFonts w:ascii="Calibri" w:eastAsiaTheme="minorEastAsia" w:hAnsi="Calibri"/>
          <w:b/>
          <w:color w:val="000000"/>
        </w:rPr>
        <w:t xml:space="preserve"> </w:t>
      </w:r>
    </w:p>
    <w:p w14:paraId="5DD9F074" w14:textId="77777777" w:rsidR="005A286A" w:rsidRDefault="005A286A" w:rsidP="005A286A">
      <w:pPr>
        <w:pStyle w:val="legclearfix"/>
        <w:numPr>
          <w:ilvl w:val="0"/>
          <w:numId w:val="9"/>
        </w:numPr>
        <w:shd w:val="clear" w:color="auto" w:fill="FFFFFF"/>
        <w:spacing w:before="240" w:beforeAutospacing="0" w:after="0" w:afterAutospacing="0" w:line="360" w:lineRule="auto"/>
        <w:jc w:val="both"/>
        <w:rPr>
          <w:rStyle w:val="legds"/>
          <w:rFonts w:asciiTheme="minorHAnsi" w:eastAsiaTheme="minorEastAsia" w:hAnsiTheme="minorHAnsi" w:cstheme="minorHAnsi"/>
          <w:b/>
          <w:color w:val="000000"/>
        </w:rPr>
      </w:pPr>
      <w:r>
        <w:rPr>
          <w:rStyle w:val="legds"/>
          <w:rFonts w:asciiTheme="minorHAnsi" w:eastAsiaTheme="minorEastAsia" w:hAnsiTheme="minorHAnsi" w:cstheme="minorHAnsi"/>
          <w:b/>
          <w:color w:val="000000"/>
        </w:rPr>
        <w:t>What factors should be included in such a test?</w:t>
      </w:r>
    </w:p>
    <w:p w14:paraId="0CEA7C05" w14:textId="77777777" w:rsidR="005A286A" w:rsidRPr="006D4963" w:rsidRDefault="005A286A" w:rsidP="005A286A">
      <w:pPr>
        <w:pStyle w:val="Heading3"/>
        <w:rPr>
          <w:rStyle w:val="legds"/>
        </w:rPr>
      </w:pPr>
      <w:r w:rsidRPr="006D4963">
        <w:rPr>
          <w:rStyle w:val="legds"/>
        </w:rPr>
        <w:t>FUNDING AND COSTS</w:t>
      </w:r>
    </w:p>
    <w:p w14:paraId="1AA4722F" w14:textId="77777777" w:rsidR="005A286A" w:rsidRDefault="005A286A" w:rsidP="005A286A">
      <w:pPr>
        <w:pStyle w:val="legclearfix"/>
        <w:numPr>
          <w:ilvl w:val="0"/>
          <w:numId w:val="9"/>
        </w:numPr>
        <w:shd w:val="clear" w:color="auto" w:fill="FFFFFF"/>
        <w:spacing w:before="240" w:beforeAutospacing="0" w:after="0" w:afterAutospacing="0" w:line="360" w:lineRule="auto"/>
        <w:jc w:val="both"/>
        <w:rPr>
          <w:rFonts w:eastAsiaTheme="minorEastAsia"/>
        </w:rPr>
      </w:pPr>
      <w:r>
        <w:rPr>
          <w:rFonts w:asciiTheme="minorHAnsi" w:hAnsiTheme="minorHAnsi" w:cstheme="minorHAnsi"/>
          <w:b/>
        </w:rPr>
        <w:t xml:space="preserve">Have you experienced problems securing legal aid for clients who appear to lack litigation capacity?  If so, please summarise the nature of the problem. </w:t>
      </w:r>
    </w:p>
    <w:p w14:paraId="31BD288D" w14:textId="77777777" w:rsidR="005A286A" w:rsidRDefault="005A286A" w:rsidP="005A286A">
      <w:pPr>
        <w:pStyle w:val="ListParagraph"/>
        <w:numPr>
          <w:ilvl w:val="0"/>
          <w:numId w:val="9"/>
        </w:numPr>
        <w:spacing w:before="240" w:line="360" w:lineRule="auto"/>
        <w:jc w:val="both"/>
        <w:rPr>
          <w:b/>
        </w:rPr>
      </w:pPr>
      <w:r>
        <w:rPr>
          <w:rFonts w:cstheme="minorHAnsi"/>
          <w:b/>
        </w:rPr>
        <w:lastRenderedPageBreak/>
        <w:t>Should legal aid regulations be amended to enable a solicitor who has reasonable</w:t>
      </w:r>
      <w:r>
        <w:rPr>
          <w:b/>
        </w:rPr>
        <w:t xml:space="preserve"> grounds to believe a client to be financially eligible to sign legal aid application forms and obtain a legal aid certificate, limited to obtaining an expert report?</w:t>
      </w:r>
    </w:p>
    <w:p w14:paraId="40C97AE5" w14:textId="77777777" w:rsidR="005A286A" w:rsidRDefault="005A286A" w:rsidP="005A286A">
      <w:pPr>
        <w:pStyle w:val="ListParagraph"/>
        <w:numPr>
          <w:ilvl w:val="0"/>
          <w:numId w:val="9"/>
        </w:numPr>
        <w:spacing w:before="240" w:line="360" w:lineRule="auto"/>
        <w:jc w:val="both"/>
        <w:rPr>
          <w:b/>
        </w:rPr>
      </w:pPr>
      <w:r>
        <w:rPr>
          <w:b/>
        </w:rPr>
        <w:t>Should non-means tested legal aid be available for the limited purpose of investigating and determining the litigation capacity of a party to civil proceedings?</w:t>
      </w:r>
    </w:p>
    <w:p w14:paraId="0C7C7C96" w14:textId="77777777" w:rsidR="005A286A" w:rsidRDefault="005A286A" w:rsidP="005A286A">
      <w:pPr>
        <w:pStyle w:val="ListParagraph"/>
        <w:numPr>
          <w:ilvl w:val="1"/>
          <w:numId w:val="9"/>
        </w:numPr>
        <w:spacing w:before="240" w:line="360" w:lineRule="auto"/>
        <w:jc w:val="both"/>
        <w:rPr>
          <w:b/>
        </w:rPr>
      </w:pPr>
      <w:r>
        <w:rPr>
          <w:b/>
        </w:rPr>
        <w:t>In all cases?</w:t>
      </w:r>
    </w:p>
    <w:p w14:paraId="1EC42E5B" w14:textId="77777777" w:rsidR="005A286A" w:rsidRDefault="005A286A" w:rsidP="005A286A">
      <w:pPr>
        <w:pStyle w:val="ListParagraph"/>
        <w:numPr>
          <w:ilvl w:val="1"/>
          <w:numId w:val="9"/>
        </w:numPr>
        <w:spacing w:before="240" w:line="360" w:lineRule="auto"/>
        <w:jc w:val="both"/>
        <w:rPr>
          <w:b/>
        </w:rPr>
      </w:pPr>
      <w:r>
        <w:rPr>
          <w:b/>
        </w:rPr>
        <w:t>In cases within the scope of civil legal aid, as set out in the Legal Aid Sentencing and Punishment of Offenders Act 2012?</w:t>
      </w:r>
    </w:p>
    <w:p w14:paraId="673324CF" w14:textId="77777777" w:rsidR="005A286A" w:rsidRDefault="005A286A" w:rsidP="005A286A">
      <w:pPr>
        <w:pStyle w:val="ListParagraph"/>
        <w:numPr>
          <w:ilvl w:val="0"/>
          <w:numId w:val="9"/>
        </w:numPr>
        <w:spacing w:before="240" w:line="360" w:lineRule="auto"/>
        <w:jc w:val="both"/>
        <w:rPr>
          <w:b/>
        </w:rPr>
      </w:pPr>
      <w:r>
        <w:rPr>
          <w:b/>
        </w:rPr>
        <w:t>Do you have any experience of issues arising in relation to payment of costs of investigating and determining litigation capacity by the party’s insurers or other third-party funding?</w:t>
      </w:r>
    </w:p>
    <w:p w14:paraId="30180B8B" w14:textId="77777777" w:rsidR="005A286A" w:rsidRDefault="005A286A" w:rsidP="005A286A">
      <w:pPr>
        <w:pStyle w:val="ListParagraph"/>
        <w:numPr>
          <w:ilvl w:val="0"/>
          <w:numId w:val="9"/>
        </w:numPr>
        <w:spacing w:before="240" w:line="360" w:lineRule="auto"/>
        <w:jc w:val="both"/>
        <w:rPr>
          <w:b/>
        </w:rPr>
      </w:pPr>
      <w:r>
        <w:rPr>
          <w:b/>
        </w:rPr>
        <w:t>Where it is necessary to investigate and determine a party’s litigation capacity and the party does not have the benefit of legal aid (or other funding) to pay these costs, should the court have the power to require another party to the proceedings with sufficient resources to pay these costs up-front:</w:t>
      </w:r>
    </w:p>
    <w:p w14:paraId="257F8E04" w14:textId="77777777" w:rsidR="005A286A" w:rsidRDefault="005A286A" w:rsidP="005A286A">
      <w:pPr>
        <w:pStyle w:val="ListParagraph"/>
        <w:numPr>
          <w:ilvl w:val="0"/>
          <w:numId w:val="11"/>
        </w:numPr>
        <w:spacing w:before="120" w:line="360" w:lineRule="auto"/>
        <w:jc w:val="both"/>
        <w:rPr>
          <w:b/>
          <w:bCs/>
        </w:rPr>
      </w:pPr>
      <w:r>
        <w:rPr>
          <w:b/>
          <w:bCs/>
        </w:rPr>
        <w:t xml:space="preserve">In all </w:t>
      </w:r>
      <w:proofErr w:type="gramStart"/>
      <w:r>
        <w:rPr>
          <w:b/>
          <w:bCs/>
        </w:rPr>
        <w:t>cases;</w:t>
      </w:r>
      <w:proofErr w:type="gramEnd"/>
    </w:p>
    <w:p w14:paraId="297803F9" w14:textId="77777777" w:rsidR="005A286A" w:rsidRDefault="005A286A" w:rsidP="005A286A">
      <w:pPr>
        <w:pStyle w:val="ListParagraph"/>
        <w:numPr>
          <w:ilvl w:val="0"/>
          <w:numId w:val="10"/>
        </w:numPr>
        <w:spacing w:before="120" w:line="360" w:lineRule="auto"/>
        <w:ind w:left="1418"/>
        <w:jc w:val="both"/>
        <w:rPr>
          <w:b/>
          <w:bCs/>
        </w:rPr>
      </w:pPr>
      <w:r>
        <w:rPr>
          <w:b/>
        </w:rPr>
        <w:t xml:space="preserve">When the other party is the </w:t>
      </w:r>
      <w:proofErr w:type="gramStart"/>
      <w:r>
        <w:rPr>
          <w:b/>
        </w:rPr>
        <w:t>Claimant;</w:t>
      </w:r>
      <w:proofErr w:type="gramEnd"/>
    </w:p>
    <w:p w14:paraId="7C3D3D19" w14:textId="77777777" w:rsidR="005A286A" w:rsidRDefault="005A286A" w:rsidP="005A286A">
      <w:pPr>
        <w:pStyle w:val="ListParagraph"/>
        <w:numPr>
          <w:ilvl w:val="0"/>
          <w:numId w:val="10"/>
        </w:numPr>
        <w:spacing w:before="120" w:line="360" w:lineRule="auto"/>
        <w:ind w:left="1418"/>
        <w:jc w:val="both"/>
        <w:rPr>
          <w:b/>
        </w:rPr>
      </w:pPr>
      <w:r>
        <w:rPr>
          <w:b/>
        </w:rPr>
        <w:t xml:space="preserve">When the other party is a public </w:t>
      </w:r>
      <w:proofErr w:type="gramStart"/>
      <w:r>
        <w:rPr>
          <w:b/>
        </w:rPr>
        <w:t>authority;</w:t>
      </w:r>
      <w:proofErr w:type="gramEnd"/>
      <w:r>
        <w:rPr>
          <w:b/>
        </w:rPr>
        <w:t xml:space="preserve"> </w:t>
      </w:r>
    </w:p>
    <w:p w14:paraId="545DD986" w14:textId="77777777" w:rsidR="005A286A" w:rsidRDefault="005A286A" w:rsidP="005A286A">
      <w:pPr>
        <w:pStyle w:val="ListParagraph"/>
        <w:numPr>
          <w:ilvl w:val="0"/>
          <w:numId w:val="10"/>
        </w:numPr>
        <w:spacing w:before="120" w:line="360" w:lineRule="auto"/>
        <w:ind w:left="1418"/>
        <w:jc w:val="both"/>
        <w:rPr>
          <w:b/>
        </w:rPr>
      </w:pPr>
      <w:r>
        <w:rPr>
          <w:b/>
        </w:rPr>
        <w:t xml:space="preserve">When the other party has a source of third-party </w:t>
      </w:r>
      <w:proofErr w:type="gramStart"/>
      <w:r>
        <w:rPr>
          <w:b/>
        </w:rPr>
        <w:t>funding;</w:t>
      </w:r>
      <w:proofErr w:type="gramEnd"/>
      <w:r>
        <w:rPr>
          <w:b/>
        </w:rPr>
        <w:t xml:space="preserve"> </w:t>
      </w:r>
    </w:p>
    <w:p w14:paraId="2F6EC3D2" w14:textId="77777777" w:rsidR="005A286A" w:rsidRDefault="005A286A" w:rsidP="005A286A">
      <w:pPr>
        <w:jc w:val="both"/>
        <w:rPr>
          <w:b/>
        </w:rPr>
      </w:pPr>
      <w:r>
        <w:rPr>
          <w:b/>
        </w:rPr>
        <w:t>Or,</w:t>
      </w:r>
    </w:p>
    <w:p w14:paraId="475B1679" w14:textId="77777777" w:rsidR="005A286A" w:rsidRDefault="005A286A" w:rsidP="005A286A">
      <w:pPr>
        <w:pStyle w:val="ListParagraph"/>
        <w:numPr>
          <w:ilvl w:val="0"/>
          <w:numId w:val="10"/>
        </w:numPr>
        <w:spacing w:line="360" w:lineRule="auto"/>
        <w:ind w:left="1418"/>
        <w:jc w:val="both"/>
        <w:rPr>
          <w:b/>
        </w:rPr>
      </w:pPr>
      <w:r>
        <w:rPr>
          <w:b/>
        </w:rPr>
        <w:t>Should the rules remain as they are (with the court able to order/invite such an undertaking in appropriate cases).</w:t>
      </w:r>
    </w:p>
    <w:p w14:paraId="0C79E8DE" w14:textId="77777777" w:rsidR="005A286A" w:rsidRDefault="005A286A" w:rsidP="005A286A">
      <w:pPr>
        <w:pStyle w:val="ListParagraph"/>
        <w:numPr>
          <w:ilvl w:val="0"/>
          <w:numId w:val="9"/>
        </w:numPr>
        <w:spacing w:before="240" w:line="360" w:lineRule="auto"/>
        <w:ind w:left="357" w:hanging="357"/>
        <w:jc w:val="both"/>
        <w:rPr>
          <w:b/>
          <w:bCs/>
        </w:rPr>
      </w:pPr>
      <w:r>
        <w:rPr>
          <w:b/>
          <w:bCs/>
        </w:rPr>
        <w:t>Should a central fund of last resort be created, to fund the investigation and determination of litigation capacity issues where there is no other feasible source of funding?</w:t>
      </w:r>
    </w:p>
    <w:p w14:paraId="3BE73602" w14:textId="77777777" w:rsidR="005A286A" w:rsidRPr="006D4963" w:rsidRDefault="005A286A" w:rsidP="005A286A">
      <w:pPr>
        <w:pStyle w:val="ListParagraph"/>
        <w:numPr>
          <w:ilvl w:val="0"/>
          <w:numId w:val="9"/>
        </w:numPr>
        <w:spacing w:before="240" w:line="360" w:lineRule="auto"/>
        <w:jc w:val="both"/>
        <w:rPr>
          <w:b/>
          <w:bCs/>
          <w:u w:val="single"/>
        </w:rPr>
      </w:pPr>
      <w:r w:rsidRPr="006D4963">
        <w:rPr>
          <w:b/>
          <w:bCs/>
        </w:rPr>
        <w:t>On what principles should the costs of a determination be decided?</w:t>
      </w:r>
    </w:p>
    <w:p w14:paraId="300FCEC2" w14:textId="77777777" w:rsidR="005A286A" w:rsidRDefault="005A286A" w:rsidP="005A286A">
      <w:pPr>
        <w:pStyle w:val="Heading3"/>
        <w:rPr>
          <w:rFonts w:eastAsiaTheme="minorHAnsi"/>
        </w:rPr>
      </w:pPr>
      <w:r>
        <w:rPr>
          <w:rFonts w:eastAsiaTheme="minorHAnsi"/>
        </w:rPr>
        <w:t>OTHER QUESTIONS</w:t>
      </w:r>
    </w:p>
    <w:p w14:paraId="697BAEC2" w14:textId="77777777" w:rsidR="005A286A" w:rsidRDefault="005A286A" w:rsidP="005A286A">
      <w:pPr>
        <w:pStyle w:val="ListParagraph"/>
        <w:numPr>
          <w:ilvl w:val="0"/>
          <w:numId w:val="9"/>
        </w:numPr>
        <w:spacing w:before="240" w:line="360" w:lineRule="auto"/>
        <w:jc w:val="both"/>
        <w:rPr>
          <w:b/>
        </w:rPr>
      </w:pPr>
      <w:r>
        <w:rPr>
          <w:b/>
        </w:rPr>
        <w:t xml:space="preserve">Do you have experience of issues </w:t>
      </w:r>
      <w:r>
        <w:rPr>
          <w:b/>
          <w:bCs/>
        </w:rPr>
        <w:t>relating to the procedure for determination of litigation</w:t>
      </w:r>
      <w:r>
        <w:rPr>
          <w:b/>
        </w:rPr>
        <w:t xml:space="preserve"> capacity in the civil courts not referred to above?</w:t>
      </w:r>
    </w:p>
    <w:p w14:paraId="48EC30DA" w14:textId="77777777" w:rsidR="005A286A" w:rsidRDefault="005A286A" w:rsidP="005A286A">
      <w:pPr>
        <w:pStyle w:val="ListParagraph"/>
        <w:numPr>
          <w:ilvl w:val="0"/>
          <w:numId w:val="9"/>
        </w:numPr>
        <w:spacing w:before="240" w:line="360" w:lineRule="auto"/>
        <w:jc w:val="both"/>
        <w:rPr>
          <w:b/>
        </w:rPr>
      </w:pPr>
      <w:r>
        <w:rPr>
          <w:b/>
        </w:rPr>
        <w:t>Do you have any other suggestions for changes that would improve the way the civil courts deal with parties who lack capacity?</w:t>
      </w:r>
    </w:p>
    <w:bookmarkEnd w:id="0"/>
    <w:p w14:paraId="2CCBA2BA" w14:textId="77777777" w:rsidR="005A286A" w:rsidRDefault="005A286A" w:rsidP="00385552">
      <w:pPr>
        <w:spacing w:after="160" w:line="259" w:lineRule="auto"/>
      </w:pPr>
    </w:p>
    <w:sectPr w:rsidR="005A286A" w:rsidSect="003B05F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93E0" w14:textId="77777777" w:rsidR="000007D8" w:rsidRDefault="000007D8" w:rsidP="00187443">
      <w:r>
        <w:separator/>
      </w:r>
    </w:p>
  </w:endnote>
  <w:endnote w:type="continuationSeparator" w:id="0">
    <w:p w14:paraId="1BFCF1E9" w14:textId="77777777" w:rsidR="000007D8" w:rsidRDefault="000007D8" w:rsidP="0018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21AA" w14:textId="77777777" w:rsidR="00DF130E" w:rsidRDefault="00DF1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139019"/>
      <w:docPartObj>
        <w:docPartGallery w:val="Page Numbers (Bottom of Page)"/>
        <w:docPartUnique/>
      </w:docPartObj>
    </w:sdtPr>
    <w:sdtEndPr>
      <w:rPr>
        <w:noProof/>
      </w:rPr>
    </w:sdtEndPr>
    <w:sdtContent>
      <w:p w14:paraId="506579A1" w14:textId="5FE49FFC" w:rsidR="003B05FE" w:rsidRDefault="003B05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5EF51" w14:textId="77777777" w:rsidR="004E16BB" w:rsidRDefault="004E1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877579"/>
      <w:docPartObj>
        <w:docPartGallery w:val="Page Numbers (Bottom of Page)"/>
        <w:docPartUnique/>
      </w:docPartObj>
    </w:sdtPr>
    <w:sdtEndPr>
      <w:rPr>
        <w:noProof/>
      </w:rPr>
    </w:sdtEndPr>
    <w:sdtContent>
      <w:p w14:paraId="43CDC2DD" w14:textId="4A0C2EA0" w:rsidR="003B05FE" w:rsidRDefault="002F6108" w:rsidP="003B05FE">
        <w:pPr>
          <w:pStyle w:val="Footer"/>
          <w:jc w:val="center"/>
        </w:pPr>
      </w:p>
    </w:sdtContent>
  </w:sdt>
  <w:p w14:paraId="2DECB45E" w14:textId="77777777" w:rsidR="003B05FE" w:rsidRDefault="003B0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DBF9" w14:textId="77777777" w:rsidR="000007D8" w:rsidRDefault="000007D8" w:rsidP="00187443">
      <w:r>
        <w:separator/>
      </w:r>
    </w:p>
  </w:footnote>
  <w:footnote w:type="continuationSeparator" w:id="0">
    <w:p w14:paraId="1AA195AE" w14:textId="77777777" w:rsidR="000007D8" w:rsidRDefault="000007D8" w:rsidP="00187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DD1B" w14:textId="77777777" w:rsidR="00DF130E" w:rsidRDefault="00DF1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9D60" w14:textId="1F56B12E" w:rsidR="00187443" w:rsidRPr="009F56E7" w:rsidRDefault="009F56E7" w:rsidP="003457C1">
    <w:pPr>
      <w:pStyle w:val="Subtitle"/>
      <w:jc w:val="right"/>
      <w:rPr>
        <w:b/>
        <w:bCs/>
        <w:color w:val="077565"/>
        <w:sz w:val="22"/>
        <w:szCs w:val="22"/>
      </w:rPr>
    </w:pPr>
    <w:r>
      <w:rPr>
        <w:b/>
        <w:bCs/>
        <w:color w:val="077565"/>
        <w:sz w:val="22"/>
        <w:szCs w:val="22"/>
      </w:rPr>
      <w:t xml:space="preserve">Please </w:t>
    </w:r>
    <w:r w:rsidR="001A0813">
      <w:rPr>
        <w:b/>
        <w:bCs/>
        <w:color w:val="077565"/>
        <w:sz w:val="22"/>
        <w:szCs w:val="22"/>
      </w:rPr>
      <w:t>amend this header with your name/organisation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0524" w14:textId="77777777" w:rsidR="00BB5E65" w:rsidRDefault="00385552" w:rsidP="00BB5E65">
    <w:pPr>
      <w:pStyle w:val="Title"/>
      <w:spacing w:after="0"/>
      <w:contextualSpacing w:val="0"/>
      <w:jc w:val="right"/>
      <w:rPr>
        <w:color w:val="077565"/>
        <w:sz w:val="24"/>
        <w:szCs w:val="24"/>
      </w:rPr>
    </w:pPr>
    <w:r w:rsidRPr="003457C1">
      <w:rPr>
        <w:color w:val="077565"/>
        <w:sz w:val="24"/>
        <w:szCs w:val="24"/>
      </w:rPr>
      <w:t xml:space="preserve">CJC Procedure for Determining Mental Capacity in Civil Proceedings </w:t>
    </w:r>
  </w:p>
  <w:p w14:paraId="215A3D0F" w14:textId="4A196CA5" w:rsidR="0095356E" w:rsidRPr="00BB5E65" w:rsidRDefault="00385552" w:rsidP="00BB5E65">
    <w:pPr>
      <w:pStyle w:val="Title"/>
      <w:spacing w:after="0"/>
      <w:contextualSpacing w:val="0"/>
      <w:jc w:val="right"/>
      <w:rPr>
        <w:color w:val="077565"/>
        <w:sz w:val="24"/>
        <w:szCs w:val="24"/>
      </w:rPr>
    </w:pPr>
    <w:r w:rsidRPr="003457C1">
      <w:rPr>
        <w:color w:val="077565"/>
        <w:sz w:val="22"/>
        <w:szCs w:val="22"/>
      </w:rPr>
      <w:t>Consultation Decembe</w:t>
    </w:r>
    <w:r>
      <w:rPr>
        <w:color w:val="077565"/>
        <w:sz w:val="22"/>
        <w:szCs w:val="22"/>
      </w:rPr>
      <w:t>r</w:t>
    </w:r>
    <w:r w:rsidRPr="003457C1">
      <w:rPr>
        <w:color w:val="077565"/>
        <w:sz w:val="22"/>
        <w:szCs w:val="22"/>
      </w:rPr>
      <w:t xml:space="preserve"> 2023</w:t>
    </w:r>
    <w:r w:rsidR="00A903E2">
      <w:rPr>
        <w:color w:val="077565"/>
        <w:sz w:val="22"/>
        <w:szCs w:val="22"/>
      </w:rPr>
      <w:t xml:space="preserve"> - March 2024</w:t>
    </w:r>
  </w:p>
  <w:p w14:paraId="3E9F88EA" w14:textId="60156B40" w:rsidR="0006240F" w:rsidRPr="00BB5E65" w:rsidRDefault="0095356E" w:rsidP="0095356E">
    <w:pPr>
      <w:pStyle w:val="Subtitle"/>
      <w:spacing w:after="0"/>
      <w:jc w:val="right"/>
      <w:rPr>
        <w:b/>
        <w:bCs/>
        <w:color w:val="077565"/>
        <w:sz w:val="22"/>
        <w:szCs w:val="22"/>
      </w:rPr>
    </w:pPr>
    <w:r w:rsidRPr="00BB5E65">
      <w:rPr>
        <w:b/>
        <w:bCs/>
        <w:color w:val="077565"/>
        <w:sz w:val="22"/>
        <w:szCs w:val="22"/>
      </w:rPr>
      <w:t>Cover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E4A4C"/>
    <w:lvl w:ilvl="0">
      <w:start w:val="1"/>
      <w:numFmt w:val="decimal"/>
      <w:pStyle w:val="ListNumber"/>
      <w:lvlText w:val="%1."/>
      <w:lvlJc w:val="left"/>
      <w:pPr>
        <w:tabs>
          <w:tab w:val="num" w:pos="360"/>
        </w:tabs>
        <w:ind w:left="360" w:hanging="360"/>
      </w:pPr>
    </w:lvl>
  </w:abstractNum>
  <w:abstractNum w:abstractNumId="1" w15:restartNumberingAfterBreak="0">
    <w:nsid w:val="00FC03C2"/>
    <w:multiLevelType w:val="multilevel"/>
    <w:tmpl w:val="A9AA7D40"/>
    <w:lvl w:ilvl="0">
      <w:start w:val="1"/>
      <w:numFmt w:val="decimal"/>
      <w:lvlText w:val="%1."/>
      <w:lvlJc w:val="left"/>
      <w:pPr>
        <w:tabs>
          <w:tab w:val="num" w:pos="720"/>
        </w:tabs>
        <w:ind w:left="720" w:hanging="720"/>
      </w:pPr>
    </w:lvl>
    <w:lvl w:ilvl="1">
      <w:start w:val="1"/>
      <w:numFmt w:val="decimal"/>
      <w:pStyle w:val="Numberedparagraph"/>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F96952"/>
    <w:multiLevelType w:val="hybridMultilevel"/>
    <w:tmpl w:val="8EC0ED4C"/>
    <w:lvl w:ilvl="0" w:tplc="9B26A146">
      <w:start w:val="2"/>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405D0161"/>
    <w:multiLevelType w:val="multilevel"/>
    <w:tmpl w:val="142E9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6D40D1"/>
    <w:multiLevelType w:val="hybridMultilevel"/>
    <w:tmpl w:val="A7BC5B04"/>
    <w:lvl w:ilvl="0" w:tplc="1DCC5EC4">
      <w:start w:val="2"/>
      <w:numFmt w:val="decimal"/>
      <w:lvlText w:val="%1)"/>
      <w:lvlJc w:val="left"/>
      <w:pPr>
        <w:ind w:left="360" w:hanging="360"/>
      </w:pPr>
      <w:rPr>
        <w:rFonts w:ascii="Calibri" w:hAnsi="Calibri" w:cs="Calibri" w:hint="default"/>
        <w:b/>
        <w:bCs/>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87D7D37"/>
    <w:multiLevelType w:val="multilevel"/>
    <w:tmpl w:val="35DE0242"/>
    <w:lvl w:ilvl="0">
      <w:start w:val="1"/>
      <w:numFmt w:val="decimal"/>
      <w:pStyle w:val="Heading1"/>
      <w:lvlText w:val="%1"/>
      <w:lvlJc w:val="left"/>
      <w:pPr>
        <w:ind w:left="397" w:hanging="397"/>
      </w:pPr>
      <w:rPr>
        <w:rFonts w:hint="default"/>
      </w:rPr>
    </w:lvl>
    <w:lvl w:ilvl="1">
      <w:start w:val="1"/>
      <w:numFmt w:val="decimal"/>
      <w:lvlText w:val="%1.%2"/>
      <w:lvlJc w:val="left"/>
      <w:pPr>
        <w:ind w:left="397" w:hanging="397"/>
      </w:pPr>
      <w:rPr>
        <w:rFonts w:hint="default"/>
        <w:b w:val="0"/>
        <w:bCs w:val="0"/>
        <w:i w:val="0"/>
        <w:iCs w:val="0"/>
        <w:color w:val="auto"/>
        <w:sz w:val="24"/>
        <w:szCs w:val="24"/>
      </w:rPr>
    </w:lvl>
    <w:lvl w:ilvl="2">
      <w:start w:val="1"/>
      <w:numFmt w:val="decimal"/>
      <w:lvlRestart w:val="1"/>
      <w:lvlText w:val="%1.%2.%3"/>
      <w:lvlJc w:val="left"/>
      <w:pPr>
        <w:ind w:left="397" w:hanging="39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6" w15:restartNumberingAfterBreak="0">
    <w:nsid w:val="58BC66C8"/>
    <w:multiLevelType w:val="hybridMultilevel"/>
    <w:tmpl w:val="2398D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9902A0"/>
    <w:multiLevelType w:val="hybridMultilevel"/>
    <w:tmpl w:val="E15066B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89600947">
    <w:abstractNumId w:val="0"/>
  </w:num>
  <w:num w:numId="2" w16cid:durableId="2138719985">
    <w:abstractNumId w:val="5"/>
  </w:num>
  <w:num w:numId="3" w16cid:durableId="1322344567">
    <w:abstractNumId w:val="5"/>
  </w:num>
  <w:num w:numId="4" w16cid:durableId="1878085882">
    <w:abstractNumId w:val="3"/>
  </w:num>
  <w:num w:numId="5" w16cid:durableId="1963686908">
    <w:abstractNumId w:val="5"/>
  </w:num>
  <w:num w:numId="6" w16cid:durableId="745810337">
    <w:abstractNumId w:val="5"/>
  </w:num>
  <w:num w:numId="7" w16cid:durableId="1102648136">
    <w:abstractNumId w:val="1"/>
  </w:num>
  <w:num w:numId="8" w16cid:durableId="1579054841">
    <w:abstractNumId w:val="6"/>
  </w:num>
  <w:num w:numId="9" w16cid:durableId="202428203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04338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3411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A4"/>
    <w:rsid w:val="000007D8"/>
    <w:rsid w:val="00060BE5"/>
    <w:rsid w:val="0006240F"/>
    <w:rsid w:val="0006600D"/>
    <w:rsid w:val="000E0148"/>
    <w:rsid w:val="00187443"/>
    <w:rsid w:val="00191774"/>
    <w:rsid w:val="0019236A"/>
    <w:rsid w:val="001A0813"/>
    <w:rsid w:val="002638A4"/>
    <w:rsid w:val="002E0135"/>
    <w:rsid w:val="002F6108"/>
    <w:rsid w:val="00325CC4"/>
    <w:rsid w:val="003457C1"/>
    <w:rsid w:val="00351AD4"/>
    <w:rsid w:val="00385552"/>
    <w:rsid w:val="003B05FE"/>
    <w:rsid w:val="003D0344"/>
    <w:rsid w:val="003E6682"/>
    <w:rsid w:val="003E7185"/>
    <w:rsid w:val="004359BC"/>
    <w:rsid w:val="004A0A7C"/>
    <w:rsid w:val="004E16BB"/>
    <w:rsid w:val="004E6D41"/>
    <w:rsid w:val="005A286A"/>
    <w:rsid w:val="005B09B8"/>
    <w:rsid w:val="005F7511"/>
    <w:rsid w:val="00724939"/>
    <w:rsid w:val="00747AD2"/>
    <w:rsid w:val="007669D7"/>
    <w:rsid w:val="00871C93"/>
    <w:rsid w:val="00882E9A"/>
    <w:rsid w:val="008B44F3"/>
    <w:rsid w:val="008E5AA2"/>
    <w:rsid w:val="009144E0"/>
    <w:rsid w:val="00945B4F"/>
    <w:rsid w:val="0095356E"/>
    <w:rsid w:val="00984CAA"/>
    <w:rsid w:val="009A140A"/>
    <w:rsid w:val="009F56E7"/>
    <w:rsid w:val="00A04C93"/>
    <w:rsid w:val="00A05956"/>
    <w:rsid w:val="00A65CAE"/>
    <w:rsid w:val="00A70C8A"/>
    <w:rsid w:val="00A8746F"/>
    <w:rsid w:val="00A903E2"/>
    <w:rsid w:val="00AC6FC2"/>
    <w:rsid w:val="00AD5239"/>
    <w:rsid w:val="00B41A6E"/>
    <w:rsid w:val="00BB5E65"/>
    <w:rsid w:val="00BD1C9F"/>
    <w:rsid w:val="00C35194"/>
    <w:rsid w:val="00C81FA7"/>
    <w:rsid w:val="00C91771"/>
    <w:rsid w:val="00CD4699"/>
    <w:rsid w:val="00D10341"/>
    <w:rsid w:val="00DF130E"/>
    <w:rsid w:val="00E632D6"/>
    <w:rsid w:val="00EB4FDE"/>
    <w:rsid w:val="00F15069"/>
    <w:rsid w:val="00F675D3"/>
    <w:rsid w:val="00FD6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2A740"/>
  <w15:chartTrackingRefBased/>
  <w15:docId w15:val="{DBCCD8EF-F89B-4225-9731-8F0560C5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939"/>
    <w:pPr>
      <w:spacing w:after="0" w:line="240" w:lineRule="auto"/>
    </w:pPr>
    <w:rPr>
      <w:rFonts w:ascii="Calibri" w:hAnsi="Calibri" w:cs="Calibri"/>
    </w:rPr>
  </w:style>
  <w:style w:type="paragraph" w:styleId="Heading1">
    <w:name w:val="heading 1"/>
    <w:next w:val="BodyText"/>
    <w:link w:val="Heading1Char"/>
    <w:qFormat/>
    <w:rsid w:val="008B44F3"/>
    <w:pPr>
      <w:keepNext/>
      <w:keepLines/>
      <w:numPr>
        <w:numId w:val="6"/>
      </w:numPr>
      <w:spacing w:before="480" w:after="480" w:line="240" w:lineRule="auto"/>
      <w:contextualSpacing/>
      <w:outlineLvl w:val="0"/>
    </w:pPr>
    <w:rPr>
      <w:rFonts w:eastAsiaTheme="majorEastAsia" w:cstheme="majorBidi"/>
      <w:b/>
      <w:color w:val="009999"/>
      <w:sz w:val="48"/>
      <w:szCs w:val="32"/>
    </w:rPr>
  </w:style>
  <w:style w:type="paragraph" w:styleId="Heading2">
    <w:name w:val="heading 2"/>
    <w:next w:val="BodyText"/>
    <w:link w:val="Heading2Char"/>
    <w:qFormat/>
    <w:rsid w:val="003E6682"/>
    <w:pPr>
      <w:keepNext/>
      <w:keepLines/>
      <w:spacing w:before="240" w:after="120" w:line="276" w:lineRule="auto"/>
      <w:outlineLvl w:val="1"/>
    </w:pPr>
    <w:rPr>
      <w:rFonts w:eastAsiaTheme="majorEastAsia" w:cstheme="majorBidi"/>
      <w:b/>
      <w:sz w:val="32"/>
      <w:szCs w:val="26"/>
    </w:rPr>
  </w:style>
  <w:style w:type="paragraph" w:styleId="Heading3">
    <w:name w:val="heading 3"/>
    <w:basedOn w:val="Heading2"/>
    <w:next w:val="Normal"/>
    <w:link w:val="Heading3Char"/>
    <w:unhideWhenUsed/>
    <w:qFormat/>
    <w:rsid w:val="00AC6FC2"/>
    <w:pPr>
      <w:spacing w:before="40" w:after="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682"/>
    <w:rPr>
      <w:rFonts w:eastAsiaTheme="majorEastAsia" w:cstheme="majorBidi"/>
      <w:b/>
      <w:color w:val="009999"/>
      <w:sz w:val="48"/>
      <w:szCs w:val="32"/>
    </w:rPr>
  </w:style>
  <w:style w:type="paragraph" w:styleId="BodyText">
    <w:name w:val="Body Text"/>
    <w:basedOn w:val="Normal"/>
    <w:link w:val="BodyTextChar"/>
    <w:uiPriority w:val="99"/>
    <w:semiHidden/>
    <w:unhideWhenUsed/>
    <w:rsid w:val="003E6682"/>
    <w:pPr>
      <w:spacing w:after="120" w:line="259" w:lineRule="auto"/>
    </w:pPr>
    <w:rPr>
      <w:rFonts w:asciiTheme="minorHAnsi" w:hAnsiTheme="minorHAnsi" w:cstheme="minorBidi"/>
      <w:sz w:val="24"/>
    </w:rPr>
  </w:style>
  <w:style w:type="character" w:customStyle="1" w:styleId="BodyTextChar">
    <w:name w:val="Body Text Char"/>
    <w:basedOn w:val="DefaultParagraphFont"/>
    <w:link w:val="BodyText"/>
    <w:uiPriority w:val="99"/>
    <w:semiHidden/>
    <w:rsid w:val="003E6682"/>
  </w:style>
  <w:style w:type="character" w:customStyle="1" w:styleId="Heading2Char">
    <w:name w:val="Heading 2 Char"/>
    <w:basedOn w:val="DefaultParagraphFont"/>
    <w:link w:val="Heading2"/>
    <w:rsid w:val="003E6682"/>
    <w:rPr>
      <w:rFonts w:eastAsiaTheme="majorEastAsia" w:cstheme="majorBidi"/>
      <w:b/>
      <w:sz w:val="32"/>
      <w:szCs w:val="26"/>
    </w:rPr>
  </w:style>
  <w:style w:type="character" w:customStyle="1" w:styleId="Heading3Char">
    <w:name w:val="Heading 3 Char"/>
    <w:basedOn w:val="DefaultParagraphFont"/>
    <w:link w:val="Heading3"/>
    <w:rsid w:val="00AC6FC2"/>
    <w:rPr>
      <w:rFonts w:eastAsiaTheme="majorEastAsia" w:cstheme="majorBidi"/>
      <w:b/>
      <w:sz w:val="24"/>
      <w:szCs w:val="24"/>
    </w:rPr>
  </w:style>
  <w:style w:type="paragraph" w:customStyle="1" w:styleId="Numberedparagraph">
    <w:name w:val="Numbered paragraph"/>
    <w:basedOn w:val="ListNumber"/>
    <w:link w:val="NumberedparagraphChar"/>
    <w:autoRedefine/>
    <w:qFormat/>
    <w:rsid w:val="008B44F3"/>
    <w:pPr>
      <w:numPr>
        <w:ilvl w:val="1"/>
        <w:numId w:val="7"/>
      </w:numPr>
      <w:spacing w:before="240" w:after="240" w:line="360" w:lineRule="auto"/>
      <w:ind w:left="397" w:hanging="397"/>
      <w:contextualSpacing w:val="0"/>
    </w:pPr>
    <w:rPr>
      <w:rFonts w:eastAsiaTheme="majorEastAsia" w:cstheme="minorHAnsi"/>
      <w:szCs w:val="24"/>
      <w:lang w:eastAsia="en-GB"/>
    </w:rPr>
  </w:style>
  <w:style w:type="character" w:customStyle="1" w:styleId="NumberedparagraphChar">
    <w:name w:val="Numbered paragraph Char"/>
    <w:basedOn w:val="DefaultParagraphFont"/>
    <w:link w:val="Numberedparagraph"/>
    <w:rsid w:val="008B44F3"/>
    <w:rPr>
      <w:rFonts w:eastAsiaTheme="majorEastAsia" w:cstheme="minorHAnsi"/>
      <w:sz w:val="24"/>
      <w:szCs w:val="24"/>
      <w:lang w:eastAsia="en-GB"/>
    </w:rPr>
  </w:style>
  <w:style w:type="paragraph" w:styleId="ListNumber">
    <w:name w:val="List Number"/>
    <w:basedOn w:val="Normal"/>
    <w:uiPriority w:val="99"/>
    <w:semiHidden/>
    <w:unhideWhenUsed/>
    <w:rsid w:val="00C81FA7"/>
    <w:pPr>
      <w:numPr>
        <w:numId w:val="1"/>
      </w:numPr>
      <w:spacing w:after="160" w:line="259" w:lineRule="auto"/>
      <w:contextualSpacing/>
    </w:pPr>
    <w:rPr>
      <w:rFonts w:asciiTheme="minorHAnsi" w:hAnsiTheme="minorHAnsi" w:cstheme="minorBidi"/>
      <w:sz w:val="24"/>
    </w:rPr>
  </w:style>
  <w:style w:type="paragraph" w:styleId="Header">
    <w:name w:val="header"/>
    <w:basedOn w:val="Normal"/>
    <w:link w:val="HeaderChar"/>
    <w:uiPriority w:val="99"/>
    <w:unhideWhenUsed/>
    <w:rsid w:val="00187443"/>
    <w:pPr>
      <w:tabs>
        <w:tab w:val="center" w:pos="4513"/>
        <w:tab w:val="right" w:pos="9026"/>
      </w:tabs>
    </w:pPr>
  </w:style>
  <w:style w:type="character" w:customStyle="1" w:styleId="HeaderChar">
    <w:name w:val="Header Char"/>
    <w:basedOn w:val="DefaultParagraphFont"/>
    <w:link w:val="Header"/>
    <w:uiPriority w:val="99"/>
    <w:rsid w:val="00187443"/>
    <w:rPr>
      <w:rFonts w:ascii="Calibri" w:hAnsi="Calibri" w:cs="Calibri"/>
    </w:rPr>
  </w:style>
  <w:style w:type="paragraph" w:styleId="Footer">
    <w:name w:val="footer"/>
    <w:basedOn w:val="Normal"/>
    <w:link w:val="FooterChar"/>
    <w:uiPriority w:val="99"/>
    <w:unhideWhenUsed/>
    <w:rsid w:val="00187443"/>
    <w:pPr>
      <w:tabs>
        <w:tab w:val="center" w:pos="4513"/>
        <w:tab w:val="right" w:pos="9026"/>
      </w:tabs>
    </w:pPr>
  </w:style>
  <w:style w:type="character" w:customStyle="1" w:styleId="FooterChar">
    <w:name w:val="Footer Char"/>
    <w:basedOn w:val="DefaultParagraphFont"/>
    <w:link w:val="Footer"/>
    <w:uiPriority w:val="99"/>
    <w:rsid w:val="00187443"/>
    <w:rPr>
      <w:rFonts w:ascii="Calibri" w:hAnsi="Calibri" w:cs="Calibri"/>
    </w:rPr>
  </w:style>
  <w:style w:type="paragraph" w:styleId="Title">
    <w:name w:val="Title"/>
    <w:next w:val="Subtitle"/>
    <w:link w:val="TitleChar"/>
    <w:uiPriority w:val="99"/>
    <w:rsid w:val="00187443"/>
    <w:pPr>
      <w:spacing w:after="480" w:line="240" w:lineRule="auto"/>
      <w:contextualSpacing/>
    </w:pPr>
    <w:rPr>
      <w:rFonts w:asciiTheme="majorHAnsi" w:eastAsiaTheme="majorEastAsia" w:hAnsiTheme="majorHAnsi" w:cstheme="majorBidi"/>
      <w:b/>
      <w:bCs/>
      <w:color w:val="4472C4" w:themeColor="accent1"/>
      <w:sz w:val="96"/>
      <w:szCs w:val="96"/>
    </w:rPr>
  </w:style>
  <w:style w:type="character" w:customStyle="1" w:styleId="TitleChar">
    <w:name w:val="Title Char"/>
    <w:basedOn w:val="DefaultParagraphFont"/>
    <w:link w:val="Title"/>
    <w:uiPriority w:val="99"/>
    <w:rsid w:val="00187443"/>
    <w:rPr>
      <w:rFonts w:asciiTheme="majorHAnsi" w:eastAsiaTheme="majorEastAsia" w:hAnsiTheme="majorHAnsi" w:cstheme="majorBidi"/>
      <w:b/>
      <w:bCs/>
      <w:color w:val="4472C4" w:themeColor="accent1"/>
      <w:sz w:val="96"/>
      <w:szCs w:val="96"/>
    </w:rPr>
  </w:style>
  <w:style w:type="paragraph" w:styleId="Subtitle">
    <w:name w:val="Subtitle"/>
    <w:next w:val="BodyText"/>
    <w:link w:val="SubtitleChar"/>
    <w:uiPriority w:val="99"/>
    <w:rsid w:val="00187443"/>
    <w:pPr>
      <w:numPr>
        <w:ilvl w:val="1"/>
      </w:numPr>
      <w:spacing w:after="240" w:line="240" w:lineRule="auto"/>
      <w:contextualSpacing/>
    </w:pPr>
    <w:rPr>
      <w:rFonts w:eastAsiaTheme="minorEastAsia"/>
      <w:color w:val="4472C4" w:themeColor="accent1"/>
      <w:sz w:val="72"/>
      <w:szCs w:val="72"/>
    </w:rPr>
  </w:style>
  <w:style w:type="character" w:customStyle="1" w:styleId="SubtitleChar">
    <w:name w:val="Subtitle Char"/>
    <w:basedOn w:val="DefaultParagraphFont"/>
    <w:link w:val="Subtitle"/>
    <w:uiPriority w:val="99"/>
    <w:rsid w:val="00187443"/>
    <w:rPr>
      <w:rFonts w:eastAsiaTheme="minorEastAsia"/>
      <w:color w:val="4472C4" w:themeColor="accent1"/>
      <w:sz w:val="72"/>
      <w:szCs w:val="72"/>
    </w:rPr>
  </w:style>
  <w:style w:type="character" w:styleId="Hyperlink">
    <w:name w:val="Hyperlink"/>
    <w:basedOn w:val="DefaultParagraphFont"/>
    <w:uiPriority w:val="99"/>
    <w:unhideWhenUsed/>
    <w:rsid w:val="00A04C93"/>
    <w:rPr>
      <w:color w:val="0563C1" w:themeColor="hyperlink"/>
      <w:u w:val="single"/>
    </w:rPr>
  </w:style>
  <w:style w:type="character" w:styleId="UnresolvedMention">
    <w:name w:val="Unresolved Mention"/>
    <w:basedOn w:val="DefaultParagraphFont"/>
    <w:uiPriority w:val="99"/>
    <w:semiHidden/>
    <w:unhideWhenUsed/>
    <w:rsid w:val="00A04C93"/>
    <w:rPr>
      <w:color w:val="605E5C"/>
      <w:shd w:val="clear" w:color="auto" w:fill="E1DFDD"/>
    </w:rPr>
  </w:style>
  <w:style w:type="paragraph" w:styleId="ListParagraph">
    <w:name w:val="List Paragraph"/>
    <w:basedOn w:val="Normal"/>
    <w:uiPriority w:val="34"/>
    <w:qFormat/>
    <w:rsid w:val="008E5AA2"/>
    <w:pPr>
      <w:ind w:left="720"/>
      <w:contextualSpacing/>
    </w:pPr>
  </w:style>
  <w:style w:type="table" w:styleId="TableGrid">
    <w:name w:val="Table Grid"/>
    <w:basedOn w:val="TableNormal"/>
    <w:uiPriority w:val="39"/>
    <w:rsid w:val="00724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0341"/>
    <w:rPr>
      <w:color w:val="954F72" w:themeColor="followedHyperlink"/>
      <w:u w:val="single"/>
    </w:rPr>
  </w:style>
  <w:style w:type="character" w:customStyle="1" w:styleId="legds">
    <w:name w:val="legds"/>
    <w:basedOn w:val="DefaultParagraphFont"/>
    <w:rsid w:val="005A286A"/>
  </w:style>
  <w:style w:type="paragraph" w:customStyle="1" w:styleId="legclearfix">
    <w:name w:val="legclearfix"/>
    <w:basedOn w:val="Normal"/>
    <w:rsid w:val="005A286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3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C@judiciary.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JCCapacityConsultation@judiciary.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office.com/e/QK04WXLwZ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7593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Amy (Judicial Office)</dc:creator>
  <cp:keywords/>
  <dc:description/>
  <cp:lastModifiedBy>Scriven, Georgia (Judicial Office)</cp:lastModifiedBy>
  <cp:revision>2</cp:revision>
  <dcterms:created xsi:type="dcterms:W3CDTF">2023-12-15T12:55:00Z</dcterms:created>
  <dcterms:modified xsi:type="dcterms:W3CDTF">2023-12-15T12:55:00Z</dcterms:modified>
</cp:coreProperties>
</file>