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29E1" w14:textId="77777777" w:rsidR="00BA2D3E" w:rsidRDefault="0096492C" w:rsidP="00497E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Checklist for emergency i</w:t>
      </w:r>
      <w:r w:rsidR="00FC28BB">
        <w:rPr>
          <w:b/>
          <w:sz w:val="28"/>
          <w:szCs w:val="28"/>
          <w:u w:val="single"/>
        </w:rPr>
        <w:t>njunctions and urgent interim r</w:t>
      </w:r>
      <w:r w:rsidR="00832FC4" w:rsidRPr="00832FC4">
        <w:rPr>
          <w:b/>
          <w:sz w:val="28"/>
          <w:szCs w:val="28"/>
          <w:u w:val="single"/>
        </w:rPr>
        <w:t>elief</w:t>
      </w:r>
    </w:p>
    <w:p w14:paraId="119E6CD7" w14:textId="77777777" w:rsidR="0096492C" w:rsidRPr="00832FC4" w:rsidRDefault="00427F1E" w:rsidP="00BA2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be completed by the Applicant(s) in all cases</w:t>
      </w:r>
    </w:p>
    <w:p w14:paraId="05C22E41" w14:textId="4D714B17" w:rsidR="00BA2D3E" w:rsidRDefault="0006685E" w:rsidP="00427F1E">
      <w:pPr>
        <w:jc w:val="both"/>
        <w:rPr>
          <w:sz w:val="24"/>
          <w:szCs w:val="24"/>
        </w:rPr>
      </w:pPr>
      <w:r w:rsidRPr="00832FC4">
        <w:rPr>
          <w:sz w:val="24"/>
          <w:szCs w:val="24"/>
        </w:rPr>
        <w:t xml:space="preserve">The Court </w:t>
      </w:r>
      <w:r w:rsidR="00362A9A">
        <w:rPr>
          <w:sz w:val="24"/>
          <w:szCs w:val="24"/>
        </w:rPr>
        <w:t>asks that</w:t>
      </w:r>
      <w:r w:rsidR="00362A9A" w:rsidRPr="00832FC4">
        <w:rPr>
          <w:sz w:val="24"/>
          <w:szCs w:val="24"/>
        </w:rPr>
        <w:t xml:space="preserve"> </w:t>
      </w:r>
      <w:r w:rsidR="00427F1E">
        <w:rPr>
          <w:sz w:val="24"/>
          <w:szCs w:val="24"/>
        </w:rPr>
        <w:t xml:space="preserve">all </w:t>
      </w:r>
      <w:r w:rsidRPr="00832FC4">
        <w:rPr>
          <w:sz w:val="24"/>
          <w:szCs w:val="24"/>
        </w:rPr>
        <w:t xml:space="preserve">Applicants complete this form </w:t>
      </w:r>
      <w:r w:rsidR="009766AB">
        <w:rPr>
          <w:sz w:val="24"/>
          <w:szCs w:val="24"/>
        </w:rPr>
        <w:t>(</w:t>
      </w:r>
      <w:r w:rsidR="00207C1E">
        <w:rPr>
          <w:sz w:val="24"/>
          <w:szCs w:val="24"/>
        </w:rPr>
        <w:t xml:space="preserve">to the extent possible and on the basis of information currently known) </w:t>
      </w:r>
      <w:r w:rsidRPr="00832FC4">
        <w:rPr>
          <w:sz w:val="24"/>
          <w:szCs w:val="24"/>
        </w:rPr>
        <w:t xml:space="preserve">and </w:t>
      </w:r>
      <w:r w:rsidR="00207C1E">
        <w:rPr>
          <w:sz w:val="24"/>
          <w:szCs w:val="24"/>
        </w:rPr>
        <w:t xml:space="preserve">lodge it with the Court by CE-filing </w:t>
      </w:r>
      <w:r w:rsidR="00C50C76">
        <w:rPr>
          <w:sz w:val="24"/>
          <w:szCs w:val="24"/>
        </w:rPr>
        <w:t xml:space="preserve">(for an existing case) or </w:t>
      </w:r>
      <w:r w:rsidRPr="00832FC4">
        <w:rPr>
          <w:sz w:val="24"/>
          <w:szCs w:val="24"/>
        </w:rPr>
        <w:t>by</w:t>
      </w:r>
      <w:r w:rsidR="00427F1E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email</w:t>
      </w:r>
      <w:r w:rsidR="00427F1E">
        <w:rPr>
          <w:sz w:val="24"/>
          <w:szCs w:val="24"/>
        </w:rPr>
        <w:t xml:space="preserve"> or</w:t>
      </w:r>
      <w:r w:rsidR="00C50C76">
        <w:rPr>
          <w:sz w:val="24"/>
          <w:szCs w:val="24"/>
        </w:rPr>
        <w:t xml:space="preserve"> </w:t>
      </w:r>
      <w:r w:rsidR="00427F1E">
        <w:rPr>
          <w:sz w:val="24"/>
          <w:szCs w:val="24"/>
        </w:rPr>
        <w:t>by hand</w:t>
      </w:r>
      <w:r w:rsidRPr="00832FC4">
        <w:rPr>
          <w:sz w:val="24"/>
          <w:szCs w:val="24"/>
        </w:rPr>
        <w:t xml:space="preserve"> to the </w:t>
      </w:r>
      <w:r w:rsidR="00307EEE" w:rsidRPr="00832FC4">
        <w:rPr>
          <w:sz w:val="24"/>
          <w:szCs w:val="24"/>
        </w:rPr>
        <w:t xml:space="preserve">Court </w:t>
      </w:r>
      <w:r w:rsidR="002957F2" w:rsidRPr="00832FC4">
        <w:rPr>
          <w:sz w:val="24"/>
          <w:szCs w:val="24"/>
        </w:rPr>
        <w:t xml:space="preserve">at </w:t>
      </w:r>
      <w:r w:rsidR="00427F1E">
        <w:rPr>
          <w:sz w:val="24"/>
          <w:szCs w:val="24"/>
        </w:rPr>
        <w:t>the</w:t>
      </w:r>
      <w:r w:rsidR="00307EEE" w:rsidRPr="00832FC4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address</w:t>
      </w:r>
      <w:r w:rsidR="00E567C2" w:rsidRPr="00832FC4">
        <w:rPr>
          <w:sz w:val="24"/>
          <w:szCs w:val="24"/>
        </w:rPr>
        <w:t>es</w:t>
      </w:r>
      <w:r w:rsidRPr="00832FC4">
        <w:rPr>
          <w:sz w:val="24"/>
          <w:szCs w:val="24"/>
        </w:rPr>
        <w:t xml:space="preserve"> below</w:t>
      </w:r>
      <w:r w:rsidR="00C50C76">
        <w:rPr>
          <w:sz w:val="24"/>
          <w:szCs w:val="24"/>
        </w:rPr>
        <w:t xml:space="preserve"> (in the case of matters not yet on CE-File),</w:t>
      </w:r>
      <w:r w:rsidR="00D63271">
        <w:rPr>
          <w:sz w:val="24"/>
          <w:szCs w:val="24"/>
        </w:rPr>
        <w:t xml:space="preserve"> </w:t>
      </w:r>
      <w:r w:rsidR="002957F2" w:rsidRPr="00832FC4">
        <w:rPr>
          <w:sz w:val="24"/>
          <w:szCs w:val="24"/>
        </w:rPr>
        <w:t>as far in advance of the intended hearing as possible</w:t>
      </w:r>
      <w:r w:rsidR="007C4A8C">
        <w:rPr>
          <w:sz w:val="24"/>
          <w:szCs w:val="24"/>
        </w:rPr>
        <w:t>.</w:t>
      </w:r>
      <w:r w:rsidR="002957F2" w:rsidRPr="00832FC4">
        <w:rPr>
          <w:sz w:val="24"/>
          <w:szCs w:val="24"/>
        </w:rPr>
        <w:t xml:space="preserve"> </w:t>
      </w:r>
      <w:r w:rsidR="007C4A8C">
        <w:rPr>
          <w:sz w:val="24"/>
          <w:szCs w:val="24"/>
        </w:rPr>
        <w:t xml:space="preserve">Applicants </w:t>
      </w:r>
      <w:r w:rsidR="00B95D2B">
        <w:rPr>
          <w:sz w:val="24"/>
          <w:szCs w:val="24"/>
        </w:rPr>
        <w:t xml:space="preserve">are also directed to the </w:t>
      </w:r>
      <w:r w:rsidR="00C16C28">
        <w:rPr>
          <w:sz w:val="24"/>
          <w:szCs w:val="24"/>
        </w:rPr>
        <w:t xml:space="preserve">general </w:t>
      </w:r>
      <w:r w:rsidR="00B95D2B">
        <w:rPr>
          <w:sz w:val="24"/>
          <w:szCs w:val="24"/>
        </w:rPr>
        <w:t>guidance given in chapters 15</w:t>
      </w:r>
      <w:r w:rsidR="006A0AA4">
        <w:rPr>
          <w:sz w:val="24"/>
          <w:szCs w:val="24"/>
        </w:rPr>
        <w:t xml:space="preserve"> and </w:t>
      </w:r>
      <w:r w:rsidR="004E1316">
        <w:rPr>
          <w:sz w:val="24"/>
          <w:szCs w:val="24"/>
        </w:rPr>
        <w:t>16 of the Chancery Guide (2022)</w:t>
      </w:r>
      <w:r w:rsidR="00C16C28">
        <w:rPr>
          <w:sz w:val="24"/>
          <w:szCs w:val="24"/>
        </w:rPr>
        <w:t xml:space="preserve"> in re</w:t>
      </w:r>
      <w:r w:rsidR="00070D7E">
        <w:rPr>
          <w:sz w:val="24"/>
          <w:szCs w:val="24"/>
        </w:rPr>
        <w:t xml:space="preserve">lation to urgent applications (and to chapter 21 in relation to applications </w:t>
      </w:r>
      <w:r w:rsidR="00DA0FBA">
        <w:rPr>
          <w:sz w:val="24"/>
          <w:szCs w:val="24"/>
        </w:rPr>
        <w:t xml:space="preserve">made in </w:t>
      </w:r>
      <w:r w:rsidR="00070D7E">
        <w:rPr>
          <w:sz w:val="24"/>
          <w:szCs w:val="24"/>
        </w:rPr>
        <w:t>insolvency and company matters)</w:t>
      </w:r>
      <w:r w:rsidR="00C50C76">
        <w:rPr>
          <w:sz w:val="24"/>
          <w:szCs w:val="24"/>
        </w:rPr>
        <w:t xml:space="preserve">, and also in Section F of the </w:t>
      </w:r>
      <w:r w:rsidR="00C50C76">
        <w:t>Circuit Commercial Guide (2022) and chapter 6 of the Technology and Construction Court Guide (2022)</w:t>
      </w:r>
      <w:r w:rsidR="00A873E6">
        <w:rPr>
          <w:sz w:val="24"/>
          <w:szCs w:val="24"/>
        </w:rPr>
        <w:t>.</w:t>
      </w:r>
    </w:p>
    <w:p w14:paraId="0575254B" w14:textId="77777777" w:rsidR="0096492C" w:rsidRPr="00832FC4" w:rsidRDefault="0096492C" w:rsidP="00832FC4">
      <w:pPr>
        <w:rPr>
          <w:sz w:val="24"/>
          <w:szCs w:val="24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BA2D3E" w:rsidRPr="003310CD" w14:paraId="74CE7241" w14:textId="77777777" w:rsidTr="003310CD">
        <w:tc>
          <w:tcPr>
            <w:tcW w:w="4500" w:type="dxa"/>
            <w:shd w:val="clear" w:color="auto" w:fill="8C8C8C"/>
          </w:tcPr>
          <w:p w14:paraId="7A247221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QUESTION:</w:t>
            </w:r>
          </w:p>
        </w:tc>
        <w:tc>
          <w:tcPr>
            <w:tcW w:w="5400" w:type="dxa"/>
            <w:shd w:val="clear" w:color="auto" w:fill="8C8C8C"/>
          </w:tcPr>
          <w:p w14:paraId="633B4B8E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ANSWER:</w:t>
            </w:r>
          </w:p>
        </w:tc>
      </w:tr>
      <w:tr w:rsidR="00D55BD4" w:rsidRPr="003310CD" w14:paraId="3DE449A5" w14:textId="77777777" w:rsidTr="003310CD">
        <w:tc>
          <w:tcPr>
            <w:tcW w:w="4500" w:type="dxa"/>
            <w:shd w:val="clear" w:color="auto" w:fill="auto"/>
          </w:tcPr>
          <w:p w14:paraId="2F02287E" w14:textId="77777777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Who is</w:t>
            </w:r>
            <w:r w:rsidR="00EA1DC2" w:rsidRPr="003310CD">
              <w:rPr>
                <w:sz w:val="24"/>
                <w:szCs w:val="24"/>
              </w:rPr>
              <w:t>/are</w:t>
            </w:r>
            <w:r w:rsidRPr="003310CD">
              <w:rPr>
                <w:sz w:val="24"/>
                <w:szCs w:val="24"/>
              </w:rPr>
              <w:t xml:space="preserve"> the Applicant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00D82D70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0053D5FE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5D23FBF" w14:textId="77777777" w:rsidR="00900C41" w:rsidRPr="003310CD" w:rsidRDefault="00900C41" w:rsidP="00B45A74">
            <w:pPr>
              <w:ind w:left="720"/>
              <w:rPr>
                <w:sz w:val="24"/>
                <w:szCs w:val="24"/>
              </w:rPr>
            </w:pPr>
          </w:p>
        </w:tc>
      </w:tr>
      <w:tr w:rsidR="00D55BD4" w:rsidRPr="003310CD" w14:paraId="4D0B59F2" w14:textId="77777777" w:rsidTr="003310CD">
        <w:tc>
          <w:tcPr>
            <w:tcW w:w="4500" w:type="dxa"/>
            <w:shd w:val="clear" w:color="auto" w:fill="auto"/>
          </w:tcPr>
          <w:p w14:paraId="79EA0ED0" w14:textId="77777777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Who is</w:t>
            </w:r>
            <w:r w:rsidR="00EA1DC2" w:rsidRPr="003310CD">
              <w:rPr>
                <w:sz w:val="24"/>
                <w:szCs w:val="24"/>
              </w:rPr>
              <w:t>/are</w:t>
            </w:r>
            <w:r w:rsidRPr="003310CD">
              <w:rPr>
                <w:sz w:val="24"/>
                <w:szCs w:val="24"/>
              </w:rPr>
              <w:t xml:space="preserve"> the Respondent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23473388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7D90A685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C92F69B" w14:textId="77777777" w:rsidR="00D55BD4" w:rsidRPr="003310CD" w:rsidRDefault="00D55BD4" w:rsidP="00B668E0">
            <w:pPr>
              <w:ind w:left="720"/>
              <w:rPr>
                <w:sz w:val="24"/>
                <w:szCs w:val="24"/>
              </w:rPr>
            </w:pPr>
          </w:p>
        </w:tc>
      </w:tr>
      <w:tr w:rsidR="00EA1DC2" w:rsidRPr="003310CD" w14:paraId="70CB10F0" w14:textId="77777777" w:rsidTr="003310CD">
        <w:tc>
          <w:tcPr>
            <w:tcW w:w="4500" w:type="dxa"/>
            <w:shd w:val="clear" w:color="auto" w:fill="auto"/>
          </w:tcPr>
          <w:p w14:paraId="47867740" w14:textId="77777777" w:rsidR="00EA1DC2" w:rsidRDefault="00EA1DC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Please provide all known contact details</w:t>
            </w:r>
            <w:r w:rsidR="00EB556C" w:rsidRPr="003310CD">
              <w:rPr>
                <w:sz w:val="24"/>
                <w:szCs w:val="24"/>
              </w:rPr>
              <w:t xml:space="preserve"> - including telephone numbers (</w:t>
            </w:r>
            <w:r w:rsidRPr="003310CD">
              <w:rPr>
                <w:sz w:val="24"/>
                <w:szCs w:val="24"/>
              </w:rPr>
              <w:t>landline</w:t>
            </w:r>
            <w:r w:rsidR="00EB556C" w:rsidRPr="003310CD">
              <w:rPr>
                <w:sz w:val="24"/>
                <w:szCs w:val="24"/>
              </w:rPr>
              <w:t xml:space="preserve"> and</w:t>
            </w:r>
            <w:r w:rsidRPr="003310CD">
              <w:rPr>
                <w:sz w:val="24"/>
                <w:szCs w:val="24"/>
              </w:rPr>
              <w:t xml:space="preserve"> mobile</w:t>
            </w:r>
            <w:r w:rsidR="00EB556C" w:rsidRPr="003310CD">
              <w:rPr>
                <w:sz w:val="24"/>
                <w:szCs w:val="24"/>
              </w:rPr>
              <w:t>) and addresses (</w:t>
            </w:r>
            <w:r w:rsidRPr="003310CD">
              <w:rPr>
                <w:sz w:val="24"/>
                <w:szCs w:val="24"/>
              </w:rPr>
              <w:t>email and main address)</w:t>
            </w:r>
            <w:r w:rsidR="00EB556C" w:rsidRPr="003310CD">
              <w:rPr>
                <w:sz w:val="24"/>
                <w:szCs w:val="24"/>
              </w:rPr>
              <w:t xml:space="preserve"> - </w:t>
            </w:r>
            <w:r w:rsidRPr="003310CD">
              <w:rPr>
                <w:sz w:val="24"/>
                <w:szCs w:val="24"/>
              </w:rPr>
              <w:t>for the parties and their legal representative</w:t>
            </w:r>
            <w:r w:rsidR="00EB556C" w:rsidRPr="003310CD">
              <w:rPr>
                <w:sz w:val="24"/>
                <w:szCs w:val="24"/>
              </w:rPr>
              <w:t>s</w:t>
            </w:r>
          </w:p>
          <w:p w14:paraId="0C99A007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C9CF4D8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2C6A0D8A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B961F67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459B6EA" w14:textId="0131F91A" w:rsidR="00B668E0" w:rsidRPr="003310CD" w:rsidRDefault="00B668E0" w:rsidP="00B668E0">
            <w:pPr>
              <w:rPr>
                <w:sz w:val="24"/>
                <w:szCs w:val="24"/>
              </w:rPr>
            </w:pPr>
          </w:p>
        </w:tc>
      </w:tr>
      <w:tr w:rsidR="00BA2D3E" w:rsidRPr="003310CD" w14:paraId="7A0BD165" w14:textId="77777777" w:rsidTr="003310CD">
        <w:tc>
          <w:tcPr>
            <w:tcW w:w="4500" w:type="dxa"/>
            <w:shd w:val="clear" w:color="auto" w:fill="auto"/>
          </w:tcPr>
          <w:p w14:paraId="3955B08A" w14:textId="05E0AD86" w:rsidR="00130C37" w:rsidRDefault="00EB556C" w:rsidP="00CD2F4D">
            <w:pPr>
              <w:jc w:val="both"/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Please </w:t>
            </w:r>
            <w:r w:rsidR="001C7D55">
              <w:rPr>
                <w:sz w:val="24"/>
                <w:szCs w:val="24"/>
              </w:rPr>
              <w:t>summarise the nature of the relief sought</w:t>
            </w:r>
            <w:r w:rsidR="00C41350">
              <w:rPr>
                <w:sz w:val="24"/>
                <w:szCs w:val="24"/>
              </w:rPr>
              <w:t xml:space="preserve"> (and </w:t>
            </w:r>
            <w:r w:rsidR="0055399D">
              <w:rPr>
                <w:sz w:val="24"/>
                <w:szCs w:val="24"/>
              </w:rPr>
              <w:t>clarify whether</w:t>
            </w:r>
            <w:r w:rsidR="00CD2F4D">
              <w:rPr>
                <w:sz w:val="24"/>
                <w:szCs w:val="24"/>
              </w:rPr>
              <w:t xml:space="preserve"> the same relief is sought against all respondents)</w:t>
            </w:r>
          </w:p>
          <w:p w14:paraId="1E0B4F05" w14:textId="0FFA744D" w:rsidR="000A6A65" w:rsidRDefault="000A6A65" w:rsidP="00CD2F4D">
            <w:pPr>
              <w:jc w:val="both"/>
              <w:rPr>
                <w:sz w:val="24"/>
                <w:szCs w:val="24"/>
              </w:rPr>
            </w:pPr>
          </w:p>
          <w:p w14:paraId="6EEE4D44" w14:textId="77777777" w:rsidR="003C6A68" w:rsidRDefault="00C50DCB" w:rsidP="00CD2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identify any special listing requests (e.g. anonym</w:t>
            </w:r>
            <w:r w:rsidR="00A73A4C">
              <w:rPr>
                <w:sz w:val="24"/>
                <w:szCs w:val="24"/>
              </w:rPr>
              <w:t xml:space="preserve">ising of parties). See further paragraphs </w:t>
            </w:r>
            <w:r w:rsidR="00183C4F">
              <w:rPr>
                <w:sz w:val="24"/>
                <w:szCs w:val="24"/>
              </w:rPr>
              <w:t>15.66-15.68 of the Chancery Guide</w:t>
            </w:r>
            <w:r w:rsidR="00427F2E">
              <w:rPr>
                <w:sz w:val="24"/>
                <w:szCs w:val="24"/>
              </w:rPr>
              <w:t xml:space="preserve">. </w:t>
            </w:r>
          </w:p>
          <w:p w14:paraId="4956A4E7" w14:textId="77777777" w:rsidR="003C6A68" w:rsidRDefault="003C6A68" w:rsidP="00CD2F4D">
            <w:pPr>
              <w:jc w:val="both"/>
              <w:rPr>
                <w:sz w:val="24"/>
                <w:szCs w:val="24"/>
              </w:rPr>
            </w:pPr>
          </w:p>
          <w:p w14:paraId="164C72D6" w14:textId="538C2366" w:rsidR="000A6A65" w:rsidRDefault="004374DF" w:rsidP="00CD2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the application is</w:t>
            </w:r>
            <w:r w:rsidR="003C6A68">
              <w:rPr>
                <w:sz w:val="24"/>
                <w:szCs w:val="24"/>
              </w:rPr>
              <w:t xml:space="preserve"> for an order</w:t>
            </w:r>
            <w:r>
              <w:rPr>
                <w:sz w:val="24"/>
                <w:szCs w:val="24"/>
              </w:rPr>
              <w:t xml:space="preserve"> restrain</w:t>
            </w:r>
            <w:r w:rsidR="003C6A68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presentation or advertisement of a winding up petition, </w:t>
            </w:r>
            <w:r w:rsidR="00941E7B">
              <w:rPr>
                <w:sz w:val="24"/>
                <w:szCs w:val="24"/>
              </w:rPr>
              <w:t>pleas</w:t>
            </w:r>
            <w:r w:rsidR="003C6A68">
              <w:rPr>
                <w:sz w:val="24"/>
                <w:szCs w:val="24"/>
              </w:rPr>
              <w:t xml:space="preserve">e state whether </w:t>
            </w:r>
            <w:r w:rsidR="006B044B">
              <w:rPr>
                <w:sz w:val="24"/>
                <w:szCs w:val="24"/>
              </w:rPr>
              <w:t>it should be listed as ‘In re a Company’ only.</w:t>
            </w:r>
          </w:p>
          <w:p w14:paraId="4236EC54" w14:textId="3135304A" w:rsidR="00153B29" w:rsidRDefault="00153B29" w:rsidP="00CD2F4D">
            <w:pPr>
              <w:jc w:val="both"/>
              <w:rPr>
                <w:sz w:val="24"/>
                <w:szCs w:val="24"/>
              </w:rPr>
            </w:pPr>
          </w:p>
          <w:p w14:paraId="608A4A8B" w14:textId="341CC23F" w:rsidR="00153B29" w:rsidRDefault="00B720F3" w:rsidP="006D6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specify whether </w:t>
            </w:r>
            <w:r w:rsidR="009E427C">
              <w:rPr>
                <w:sz w:val="24"/>
                <w:szCs w:val="24"/>
              </w:rPr>
              <w:t xml:space="preserve">the Applicant seeks to have the application </w:t>
            </w:r>
            <w:r w:rsidR="006B5E38">
              <w:rPr>
                <w:sz w:val="24"/>
                <w:szCs w:val="24"/>
              </w:rPr>
              <w:t xml:space="preserve">heard as a remote or hybrid hearing </w:t>
            </w:r>
            <w:r w:rsidR="009E0ECE">
              <w:rPr>
                <w:sz w:val="24"/>
                <w:szCs w:val="24"/>
              </w:rPr>
              <w:t>a</w:t>
            </w:r>
            <w:r w:rsidR="006B5E38">
              <w:rPr>
                <w:sz w:val="24"/>
                <w:szCs w:val="24"/>
              </w:rPr>
              <w:t xml:space="preserve">nd if so on what basis? </w:t>
            </w:r>
            <w:r w:rsidR="009E0ECE">
              <w:rPr>
                <w:sz w:val="24"/>
                <w:szCs w:val="24"/>
              </w:rPr>
              <w:t xml:space="preserve">(see further the general </w:t>
            </w:r>
            <w:r w:rsidR="009E0ECE">
              <w:rPr>
                <w:sz w:val="24"/>
                <w:szCs w:val="24"/>
              </w:rPr>
              <w:lastRenderedPageBreak/>
              <w:t>guidance in Appendix Z to the Chancery Guide)</w:t>
            </w:r>
          </w:p>
          <w:p w14:paraId="27626099" w14:textId="77777777" w:rsidR="0079059B" w:rsidRDefault="0079059B" w:rsidP="006D6416">
            <w:pPr>
              <w:jc w:val="both"/>
              <w:rPr>
                <w:sz w:val="24"/>
                <w:szCs w:val="24"/>
              </w:rPr>
            </w:pPr>
          </w:p>
          <w:p w14:paraId="0420857C" w14:textId="77777777" w:rsidR="00130C37" w:rsidRDefault="00130C37" w:rsidP="006D6416">
            <w:pPr>
              <w:jc w:val="both"/>
              <w:rPr>
                <w:sz w:val="24"/>
                <w:szCs w:val="24"/>
              </w:rPr>
            </w:pPr>
          </w:p>
          <w:p w14:paraId="6EAD867D" w14:textId="77777777" w:rsidR="00FA07ED" w:rsidRDefault="00FA07ED" w:rsidP="006D6416">
            <w:pPr>
              <w:jc w:val="both"/>
              <w:rPr>
                <w:sz w:val="24"/>
                <w:szCs w:val="24"/>
              </w:rPr>
            </w:pPr>
          </w:p>
          <w:p w14:paraId="120D5C34" w14:textId="77777777" w:rsidR="00130C37" w:rsidRDefault="00130C37" w:rsidP="006D6416">
            <w:pPr>
              <w:jc w:val="both"/>
              <w:rPr>
                <w:sz w:val="24"/>
                <w:szCs w:val="24"/>
              </w:rPr>
            </w:pPr>
          </w:p>
          <w:p w14:paraId="2596F4DC" w14:textId="77777777" w:rsidR="00130C37" w:rsidRDefault="00130C37" w:rsidP="006D6416">
            <w:pPr>
              <w:jc w:val="both"/>
              <w:rPr>
                <w:sz w:val="24"/>
                <w:szCs w:val="24"/>
              </w:rPr>
            </w:pPr>
          </w:p>
          <w:p w14:paraId="2B3C57B7" w14:textId="77777777" w:rsidR="00130C37" w:rsidRPr="003310CD" w:rsidRDefault="00130C37" w:rsidP="006D64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821216C" w14:textId="77777777" w:rsidR="005A3A1D" w:rsidRPr="003310CD" w:rsidRDefault="005A3A1D" w:rsidP="005A3A1D">
            <w:pPr>
              <w:ind w:left="720"/>
              <w:rPr>
                <w:sz w:val="24"/>
                <w:szCs w:val="24"/>
              </w:rPr>
            </w:pPr>
          </w:p>
        </w:tc>
      </w:tr>
      <w:tr w:rsidR="00A71C01" w:rsidRPr="003310CD" w14:paraId="46BC8DB4" w14:textId="77777777" w:rsidTr="003310CD">
        <w:tc>
          <w:tcPr>
            <w:tcW w:w="4500" w:type="dxa"/>
            <w:shd w:val="clear" w:color="auto" w:fill="auto"/>
          </w:tcPr>
          <w:p w14:paraId="326D137E" w14:textId="2D3D4E2E" w:rsidR="00130C37" w:rsidRDefault="00FA07ED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</w:t>
            </w:r>
            <w:r w:rsidR="00130C37">
              <w:rPr>
                <w:sz w:val="24"/>
                <w:szCs w:val="24"/>
              </w:rPr>
              <w:t xml:space="preserve">s the application </w:t>
            </w:r>
            <w:r w:rsidR="005E1B7B">
              <w:rPr>
                <w:sz w:val="24"/>
                <w:szCs w:val="24"/>
              </w:rPr>
              <w:t xml:space="preserve">said to be </w:t>
            </w:r>
            <w:r w:rsidR="00130C37">
              <w:rPr>
                <w:sz w:val="24"/>
                <w:szCs w:val="24"/>
              </w:rPr>
              <w:t xml:space="preserve">urgent? </w:t>
            </w:r>
          </w:p>
          <w:p w14:paraId="1D918FBC" w14:textId="77777777" w:rsidR="00130C37" w:rsidRDefault="00130C37" w:rsidP="00130C37">
            <w:pPr>
              <w:rPr>
                <w:sz w:val="24"/>
                <w:szCs w:val="24"/>
              </w:rPr>
            </w:pPr>
          </w:p>
          <w:p w14:paraId="43325423" w14:textId="77777777" w:rsidR="00FC6FE6" w:rsidRDefault="00E61741" w:rsidP="006D641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E5FB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it intended to </w:t>
            </w:r>
            <w:r w:rsidR="004E5FB1">
              <w:rPr>
                <w:sz w:val="24"/>
                <w:szCs w:val="24"/>
              </w:rPr>
              <w:t>give notice of the application to the respondent(s)</w:t>
            </w:r>
            <w:r w:rsidR="004261DC">
              <w:rPr>
                <w:sz w:val="24"/>
                <w:szCs w:val="24"/>
              </w:rPr>
              <w:t xml:space="preserve"> in accordance with CPR </w:t>
            </w:r>
            <w:r w:rsidR="008A05DD">
              <w:rPr>
                <w:sz w:val="24"/>
                <w:szCs w:val="24"/>
              </w:rPr>
              <w:t xml:space="preserve">23.4(1) </w:t>
            </w:r>
            <w:r w:rsidR="00FC6FE6">
              <w:rPr>
                <w:sz w:val="24"/>
                <w:szCs w:val="24"/>
              </w:rPr>
              <w:t>or any other applicable rule or practice direction?</w:t>
            </w:r>
          </w:p>
          <w:p w14:paraId="7CD290DD" w14:textId="77777777" w:rsidR="00FC6FE6" w:rsidRDefault="00FC6FE6" w:rsidP="006D6416">
            <w:pPr>
              <w:pStyle w:val="ListParagraph"/>
              <w:rPr>
                <w:sz w:val="24"/>
                <w:szCs w:val="24"/>
              </w:rPr>
            </w:pPr>
          </w:p>
          <w:p w14:paraId="30761AC2" w14:textId="225EA90B" w:rsidR="00130C37" w:rsidRDefault="00FC6FE6" w:rsidP="006D641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it is not intended to give notice to the respondent(s), </w:t>
            </w:r>
            <w:r w:rsidR="00FF74F9">
              <w:rPr>
                <w:sz w:val="24"/>
                <w:szCs w:val="24"/>
              </w:rPr>
              <w:t xml:space="preserve">please </w:t>
            </w:r>
            <w:r w:rsidR="009A69D1">
              <w:rPr>
                <w:sz w:val="24"/>
                <w:szCs w:val="24"/>
              </w:rPr>
              <w:t xml:space="preserve">identify </w:t>
            </w:r>
            <w:r w:rsidR="001639BA">
              <w:rPr>
                <w:sz w:val="24"/>
                <w:szCs w:val="24"/>
              </w:rPr>
              <w:t>the rea</w:t>
            </w:r>
            <w:r w:rsidR="00B83924">
              <w:rPr>
                <w:sz w:val="24"/>
                <w:szCs w:val="24"/>
              </w:rPr>
              <w:t xml:space="preserve">sons and </w:t>
            </w:r>
            <w:r w:rsidR="008300C8">
              <w:rPr>
                <w:sz w:val="24"/>
                <w:szCs w:val="24"/>
              </w:rPr>
              <w:t xml:space="preserve">which </w:t>
            </w:r>
            <w:r w:rsidR="00005D99">
              <w:rPr>
                <w:sz w:val="24"/>
                <w:szCs w:val="24"/>
              </w:rPr>
              <w:t>paragraph of CPR 23.4(2) is relied upon</w:t>
            </w:r>
            <w:r w:rsidR="00B83924">
              <w:rPr>
                <w:sz w:val="24"/>
                <w:szCs w:val="24"/>
              </w:rPr>
              <w:t>.</w:t>
            </w:r>
          </w:p>
          <w:p w14:paraId="559BA2DB" w14:textId="77777777" w:rsidR="00130C37" w:rsidRDefault="00130C37" w:rsidP="00130C37">
            <w:pPr>
              <w:pStyle w:val="ListParagraph"/>
              <w:rPr>
                <w:sz w:val="24"/>
                <w:szCs w:val="24"/>
              </w:rPr>
            </w:pPr>
          </w:p>
          <w:p w14:paraId="4EC39608" w14:textId="77777777" w:rsidR="00130C37" w:rsidRPr="003310CD" w:rsidRDefault="00130C37" w:rsidP="00130C3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B4A9180" w14:textId="77777777" w:rsidR="005A3A1D" w:rsidRPr="003310CD" w:rsidRDefault="005A3A1D" w:rsidP="005A3A1D">
            <w:pPr>
              <w:ind w:left="720"/>
              <w:rPr>
                <w:sz w:val="24"/>
                <w:szCs w:val="24"/>
              </w:rPr>
            </w:pPr>
          </w:p>
        </w:tc>
      </w:tr>
      <w:tr w:rsidR="00BA2D3E" w:rsidRPr="003310CD" w14:paraId="55BA00AA" w14:textId="77777777" w:rsidTr="003310CD">
        <w:tc>
          <w:tcPr>
            <w:tcW w:w="4500" w:type="dxa"/>
            <w:shd w:val="clear" w:color="auto" w:fill="auto"/>
          </w:tcPr>
          <w:p w14:paraId="4A9500B1" w14:textId="3F200E69" w:rsidR="0079059B" w:rsidRDefault="00BA2D3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What papers have been prepared?</w:t>
            </w:r>
            <w:r w:rsidR="00B83924">
              <w:rPr>
                <w:sz w:val="24"/>
                <w:szCs w:val="24"/>
              </w:rPr>
              <w:t xml:space="preserve"> </w:t>
            </w:r>
            <w:r w:rsidR="0049540B">
              <w:rPr>
                <w:sz w:val="24"/>
                <w:szCs w:val="24"/>
              </w:rPr>
              <w:t xml:space="preserve">Please confirm that a draft order in Word </w:t>
            </w:r>
            <w:r w:rsidR="005A0A28">
              <w:rPr>
                <w:sz w:val="24"/>
                <w:szCs w:val="24"/>
              </w:rPr>
              <w:t xml:space="preserve">format will be </w:t>
            </w:r>
            <w:r w:rsidR="002A2732">
              <w:rPr>
                <w:sz w:val="24"/>
                <w:szCs w:val="24"/>
              </w:rPr>
              <w:t>CE-Filed in accordance with paragraph</w:t>
            </w:r>
            <w:r w:rsidR="00C66702">
              <w:rPr>
                <w:sz w:val="24"/>
                <w:szCs w:val="24"/>
              </w:rPr>
              <w:t>s 16.5 -16.7 of the Chancery Guide.</w:t>
            </w:r>
          </w:p>
          <w:p w14:paraId="51485905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5F8C0309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0025D16" w14:textId="77777777" w:rsidR="005A3A1D" w:rsidRPr="003310CD" w:rsidRDefault="005A3A1D" w:rsidP="005A3A1D">
            <w:pPr>
              <w:ind w:left="720"/>
              <w:rPr>
                <w:sz w:val="24"/>
                <w:szCs w:val="24"/>
              </w:rPr>
            </w:pPr>
          </w:p>
        </w:tc>
      </w:tr>
      <w:tr w:rsidR="00BA2D3E" w:rsidRPr="003310CD" w14:paraId="12F743A8" w14:textId="77777777" w:rsidTr="003310CD">
        <w:tc>
          <w:tcPr>
            <w:tcW w:w="4500" w:type="dxa"/>
            <w:shd w:val="clear" w:color="auto" w:fill="auto"/>
          </w:tcPr>
          <w:p w14:paraId="5BB85445" w14:textId="77777777" w:rsidR="004B6EFB" w:rsidRDefault="004B6EFB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Judge: HCJ/CJ/DJ?</w:t>
            </w:r>
          </w:p>
          <w:p w14:paraId="4985C517" w14:textId="77777777" w:rsidR="004B6EFB" w:rsidRDefault="004B6EFB" w:rsidP="00BA2D3E">
            <w:pPr>
              <w:rPr>
                <w:sz w:val="24"/>
                <w:szCs w:val="24"/>
              </w:rPr>
            </w:pPr>
          </w:p>
          <w:p w14:paraId="2BE6DE05" w14:textId="77777777" w:rsidR="00130C37" w:rsidRPr="003310CD" w:rsidRDefault="00BA2D3E" w:rsidP="00FA07ED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When can the judge expect the papers?</w:t>
            </w:r>
          </w:p>
        </w:tc>
        <w:tc>
          <w:tcPr>
            <w:tcW w:w="5400" w:type="dxa"/>
            <w:shd w:val="clear" w:color="auto" w:fill="auto"/>
          </w:tcPr>
          <w:p w14:paraId="5AFC0FCE" w14:textId="322296C3" w:rsidR="005A3A1D" w:rsidRPr="003310CD" w:rsidRDefault="005A3A1D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40440D91" w14:textId="77777777" w:rsidTr="003310CD">
        <w:tc>
          <w:tcPr>
            <w:tcW w:w="4500" w:type="dxa"/>
            <w:shd w:val="clear" w:color="auto" w:fill="auto"/>
          </w:tcPr>
          <w:p w14:paraId="043BEDB9" w14:textId="77777777" w:rsidR="00130C37" w:rsidRPr="003310CD" w:rsidRDefault="00130C37" w:rsidP="009B3A3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CAC123B" w14:textId="100D1008" w:rsidR="007D059E" w:rsidRPr="003310CD" w:rsidRDefault="007D059E" w:rsidP="002366B1">
            <w:pPr>
              <w:rPr>
                <w:sz w:val="24"/>
                <w:szCs w:val="24"/>
              </w:rPr>
            </w:pPr>
          </w:p>
        </w:tc>
      </w:tr>
      <w:tr w:rsidR="00BA2D3E" w:rsidRPr="003310CD" w14:paraId="32123976" w14:textId="77777777" w:rsidTr="003310CD">
        <w:tc>
          <w:tcPr>
            <w:tcW w:w="4500" w:type="dxa"/>
            <w:shd w:val="clear" w:color="auto" w:fill="auto"/>
          </w:tcPr>
          <w:p w14:paraId="03FC8FA0" w14:textId="77777777" w:rsidR="00130C37" w:rsidRPr="003310CD" w:rsidRDefault="00130C37" w:rsidP="009B3A32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B1EA7A6" w14:textId="5959060A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00164CFA" w14:textId="77777777" w:rsidTr="003310CD">
        <w:tc>
          <w:tcPr>
            <w:tcW w:w="4500" w:type="dxa"/>
            <w:shd w:val="clear" w:color="auto" w:fill="auto"/>
          </w:tcPr>
          <w:p w14:paraId="00333984" w14:textId="77777777" w:rsidR="0079059B" w:rsidRDefault="0079059B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How long should they take to read?</w:t>
            </w:r>
          </w:p>
          <w:p w14:paraId="483221AB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4642771D" w14:textId="77777777" w:rsidR="00FA07ED" w:rsidRPr="003310CD" w:rsidRDefault="00FA07ED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EE05B2A" w14:textId="47498BD1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A71C01" w:rsidRPr="003310CD" w14:paraId="26FF6D06" w14:textId="77777777" w:rsidTr="003310CD">
        <w:tc>
          <w:tcPr>
            <w:tcW w:w="4500" w:type="dxa"/>
            <w:shd w:val="clear" w:color="auto" w:fill="auto"/>
          </w:tcPr>
          <w:p w14:paraId="7293C9E4" w14:textId="77777777" w:rsidR="00A71C01" w:rsidRDefault="00EB556C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How </w:t>
            </w:r>
            <w:r w:rsidR="00130C37">
              <w:rPr>
                <w:sz w:val="24"/>
                <w:szCs w:val="24"/>
              </w:rPr>
              <w:t>much time in court is required for the application hearing (including any consequential matters)</w:t>
            </w:r>
            <w:r w:rsidR="00A71C01" w:rsidRPr="003310CD">
              <w:rPr>
                <w:sz w:val="24"/>
                <w:szCs w:val="24"/>
              </w:rPr>
              <w:t>?</w:t>
            </w:r>
          </w:p>
          <w:p w14:paraId="2AB51D14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1294317" w14:textId="6B85B720" w:rsidR="00A71C01" w:rsidRPr="003310CD" w:rsidRDefault="00A71C01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539CAA6F" w14:textId="77777777" w:rsidTr="003310CD">
        <w:tc>
          <w:tcPr>
            <w:tcW w:w="4500" w:type="dxa"/>
            <w:shd w:val="clear" w:color="auto" w:fill="auto"/>
          </w:tcPr>
          <w:p w14:paraId="30064457" w14:textId="77777777" w:rsidR="0079059B" w:rsidRDefault="00130C37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application made in existing proceedings?</w:t>
            </w:r>
          </w:p>
          <w:p w14:paraId="7B7895AE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5C133520" w14:textId="77777777" w:rsidR="00FA07ED" w:rsidRDefault="00FA07E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what is the case number?</w:t>
            </w:r>
          </w:p>
          <w:p w14:paraId="67E9E710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35233DF" w14:textId="03CF3D8A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4FFD87BA" w14:textId="77777777" w:rsidTr="003310CD">
        <w:tc>
          <w:tcPr>
            <w:tcW w:w="4500" w:type="dxa"/>
            <w:shd w:val="clear" w:color="auto" w:fill="auto"/>
          </w:tcPr>
          <w:p w14:paraId="3C43358C" w14:textId="77777777" w:rsidR="00130C37" w:rsidRDefault="00EB556C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If </w:t>
            </w:r>
            <w:r w:rsidR="00130C37">
              <w:rPr>
                <w:sz w:val="24"/>
                <w:szCs w:val="24"/>
              </w:rPr>
              <w:t>yes</w:t>
            </w:r>
            <w:r w:rsidRPr="003310CD">
              <w:rPr>
                <w:sz w:val="24"/>
                <w:szCs w:val="24"/>
              </w:rPr>
              <w:t xml:space="preserve">, </w:t>
            </w:r>
          </w:p>
          <w:p w14:paraId="796A11CD" w14:textId="77777777" w:rsidR="00130C37" w:rsidRDefault="00EB556C" w:rsidP="00130C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what is the case number</w:t>
            </w:r>
            <w:r w:rsidR="0079059B" w:rsidRPr="003310CD">
              <w:rPr>
                <w:sz w:val="24"/>
                <w:szCs w:val="24"/>
              </w:rPr>
              <w:t>?</w:t>
            </w:r>
          </w:p>
          <w:p w14:paraId="7539CC6C" w14:textId="77777777" w:rsidR="00130C37" w:rsidRDefault="00130C37" w:rsidP="00130C37">
            <w:pPr>
              <w:ind w:left="720"/>
              <w:rPr>
                <w:sz w:val="24"/>
                <w:szCs w:val="24"/>
              </w:rPr>
            </w:pPr>
          </w:p>
          <w:p w14:paraId="45643B41" w14:textId="77777777" w:rsidR="0079059B" w:rsidRDefault="004C257D" w:rsidP="00130C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Court of County Court?</w:t>
            </w:r>
          </w:p>
          <w:p w14:paraId="3141F55F" w14:textId="77777777" w:rsidR="004C257D" w:rsidRDefault="004C257D" w:rsidP="004C257D">
            <w:pPr>
              <w:pStyle w:val="ListParagraph"/>
              <w:rPr>
                <w:sz w:val="24"/>
                <w:szCs w:val="24"/>
              </w:rPr>
            </w:pPr>
          </w:p>
          <w:p w14:paraId="4A6EFF4C" w14:textId="1815A72C" w:rsidR="004C257D" w:rsidRDefault="004C257D" w:rsidP="00130C37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</w:t>
            </w:r>
            <w:r w:rsidR="00D637B1">
              <w:rPr>
                <w:sz w:val="24"/>
                <w:szCs w:val="24"/>
              </w:rPr>
              <w:t xml:space="preserve">nature of the underlying </w:t>
            </w:r>
            <w:r>
              <w:rPr>
                <w:sz w:val="24"/>
                <w:szCs w:val="24"/>
              </w:rPr>
              <w:t xml:space="preserve">claim </w:t>
            </w:r>
            <w:r w:rsidR="00D637B1">
              <w:rPr>
                <w:sz w:val="24"/>
                <w:szCs w:val="24"/>
              </w:rPr>
              <w:t xml:space="preserve">(and, if </w:t>
            </w:r>
            <w:r w:rsidR="00007EDF">
              <w:rPr>
                <w:sz w:val="24"/>
                <w:szCs w:val="24"/>
              </w:rPr>
              <w:t xml:space="preserve">appropriate, its </w:t>
            </w:r>
            <w:r>
              <w:rPr>
                <w:sz w:val="24"/>
                <w:szCs w:val="24"/>
              </w:rPr>
              <w:t>value</w:t>
            </w:r>
            <w:r w:rsidR="00007ED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  <w:p w14:paraId="33268DA3" w14:textId="351505C9" w:rsidR="004C257D" w:rsidRPr="003310CD" w:rsidRDefault="004C257D" w:rsidP="006D6416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9146F45" w14:textId="407894CD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3D77F3EE" w14:textId="77777777" w:rsidTr="003310CD">
        <w:tc>
          <w:tcPr>
            <w:tcW w:w="4500" w:type="dxa"/>
            <w:shd w:val="clear" w:color="auto" w:fill="auto"/>
          </w:tcPr>
          <w:p w14:paraId="4C4CC65B" w14:textId="77777777" w:rsidR="004C257D" w:rsidRDefault="0006685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If no</w:t>
            </w:r>
            <w:r w:rsidR="00A71C01" w:rsidRPr="003310CD">
              <w:rPr>
                <w:sz w:val="24"/>
                <w:szCs w:val="24"/>
              </w:rPr>
              <w:t>,</w:t>
            </w:r>
          </w:p>
          <w:p w14:paraId="38627E74" w14:textId="48DFC22E" w:rsidR="004C257D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  <w:r w:rsidR="00A71C01" w:rsidRPr="003310CD">
              <w:rPr>
                <w:sz w:val="24"/>
                <w:szCs w:val="24"/>
              </w:rPr>
              <w:t xml:space="preserve"> w</w:t>
            </w:r>
            <w:r w:rsidR="0079059B" w:rsidRPr="003310CD">
              <w:rPr>
                <w:sz w:val="24"/>
                <w:szCs w:val="24"/>
              </w:rPr>
              <w:t xml:space="preserve">ill </w:t>
            </w:r>
            <w:r>
              <w:rPr>
                <w:sz w:val="24"/>
                <w:szCs w:val="24"/>
              </w:rPr>
              <w:t>the proceedings</w:t>
            </w:r>
            <w:r w:rsidR="00947D8C">
              <w:rPr>
                <w:sz w:val="24"/>
                <w:szCs w:val="24"/>
              </w:rPr>
              <w:t xml:space="preserve"> be issued</w:t>
            </w:r>
            <w:r>
              <w:rPr>
                <w:sz w:val="24"/>
                <w:szCs w:val="24"/>
              </w:rPr>
              <w:t>?</w:t>
            </w:r>
          </w:p>
          <w:p w14:paraId="359A0979" w14:textId="77777777" w:rsidR="00E567C2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6685E" w:rsidRPr="003310CD">
              <w:rPr>
                <w:sz w:val="24"/>
                <w:szCs w:val="24"/>
              </w:rPr>
              <w:t xml:space="preserve">igh Court or County Court </w:t>
            </w:r>
            <w:r w:rsidR="0079059B" w:rsidRPr="003310CD">
              <w:rPr>
                <w:sz w:val="24"/>
                <w:szCs w:val="24"/>
              </w:rPr>
              <w:t>?</w:t>
            </w:r>
          </w:p>
          <w:p w14:paraId="716A3EEC" w14:textId="77777777" w:rsidR="004C257D" w:rsidRDefault="004C257D" w:rsidP="004C257D">
            <w:pPr>
              <w:ind w:left="720"/>
              <w:rPr>
                <w:sz w:val="24"/>
                <w:szCs w:val="24"/>
              </w:rPr>
            </w:pPr>
          </w:p>
          <w:p w14:paraId="13FCC704" w14:textId="4920AE76" w:rsidR="004C257D" w:rsidRDefault="004C257D" w:rsidP="006D6416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</w:t>
            </w:r>
            <w:r w:rsidR="00947D8C">
              <w:rPr>
                <w:sz w:val="24"/>
                <w:szCs w:val="24"/>
              </w:rPr>
              <w:t xml:space="preserve">nature of the proposed </w:t>
            </w:r>
            <w:r>
              <w:rPr>
                <w:sz w:val="24"/>
                <w:szCs w:val="24"/>
              </w:rPr>
              <w:t xml:space="preserve">claim </w:t>
            </w:r>
            <w:r w:rsidR="00947D8C">
              <w:rPr>
                <w:sz w:val="24"/>
                <w:szCs w:val="24"/>
              </w:rPr>
              <w:t xml:space="preserve">(and, where appropriate, its </w:t>
            </w:r>
            <w:r>
              <w:rPr>
                <w:sz w:val="24"/>
                <w:szCs w:val="24"/>
              </w:rPr>
              <w:t>value</w:t>
            </w:r>
            <w:r w:rsidR="00947D8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  <w:p w14:paraId="636BB1DA" w14:textId="77777777" w:rsidR="004C257D" w:rsidRDefault="004C257D" w:rsidP="006D6416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6036AAE9" w14:textId="77777777" w:rsidR="004C257D" w:rsidRPr="003310CD" w:rsidRDefault="004C257D" w:rsidP="00947D8C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784D1F7" w14:textId="313A4691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1AFE21C9" w14:textId="77777777" w:rsidTr="003310CD">
        <w:tc>
          <w:tcPr>
            <w:tcW w:w="4500" w:type="dxa"/>
            <w:shd w:val="clear" w:color="auto" w:fill="auto"/>
          </w:tcPr>
          <w:p w14:paraId="4E359706" w14:textId="77777777" w:rsidR="00FA07ED" w:rsidRPr="003310CD" w:rsidRDefault="00FA07ED" w:rsidP="00947D8C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8EF9A44" w14:textId="23B1EEBC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1751AE96" w14:textId="77777777" w:rsidTr="003310CD">
        <w:tc>
          <w:tcPr>
            <w:tcW w:w="4500" w:type="dxa"/>
            <w:shd w:val="clear" w:color="auto" w:fill="auto"/>
          </w:tcPr>
          <w:p w14:paraId="2262D1E5" w14:textId="77777777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 Address</w:t>
            </w:r>
          </w:p>
          <w:p w14:paraId="441B08AC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CF966A9" w14:textId="77777777" w:rsidR="00B45A74" w:rsidRDefault="005A3A1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Bristol </w:t>
            </w:r>
            <w:r w:rsidR="00B45A74">
              <w:rPr>
                <w:sz w:val="24"/>
                <w:szCs w:val="24"/>
              </w:rPr>
              <w:t>Business &amp; Property Courts</w:t>
            </w:r>
          </w:p>
          <w:p w14:paraId="5C287717" w14:textId="055A1C39" w:rsidR="0079059B" w:rsidRDefault="005A3A1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and Family Justice Centre</w:t>
            </w:r>
          </w:p>
          <w:p w14:paraId="176D8792" w14:textId="77777777" w:rsidR="005A3A1D" w:rsidRPr="003310CD" w:rsidRDefault="005A3A1D" w:rsidP="005A3A1D">
            <w:pPr>
              <w:rPr>
                <w:sz w:val="24"/>
                <w:szCs w:val="24"/>
              </w:rPr>
            </w:pPr>
            <w:r w:rsidRPr="005A3A1D">
              <w:rPr>
                <w:sz w:val="24"/>
                <w:szCs w:val="24"/>
              </w:rPr>
              <w:t>2 Redcliff Street</w:t>
            </w:r>
            <w:r>
              <w:rPr>
                <w:sz w:val="24"/>
                <w:szCs w:val="24"/>
              </w:rPr>
              <w:t xml:space="preserve">, </w:t>
            </w:r>
            <w:r w:rsidRPr="005A3A1D">
              <w:rPr>
                <w:sz w:val="24"/>
                <w:szCs w:val="24"/>
              </w:rPr>
              <w:t>Bristol</w:t>
            </w:r>
            <w:r>
              <w:rPr>
                <w:sz w:val="24"/>
                <w:szCs w:val="24"/>
              </w:rPr>
              <w:t xml:space="preserve">, </w:t>
            </w:r>
            <w:r w:rsidRPr="005A3A1D">
              <w:rPr>
                <w:sz w:val="24"/>
                <w:szCs w:val="24"/>
              </w:rPr>
              <w:t>BS1 6GR</w:t>
            </w:r>
          </w:p>
          <w:p w14:paraId="5FF6BA30" w14:textId="77777777" w:rsidR="00307EEE" w:rsidRPr="003310CD" w:rsidRDefault="005A3A1D" w:rsidP="005A3A1D">
            <w:pPr>
              <w:rPr>
                <w:b/>
                <w:sz w:val="24"/>
                <w:szCs w:val="24"/>
              </w:rPr>
            </w:pPr>
            <w:r w:rsidRPr="005A3A1D">
              <w:rPr>
                <w:sz w:val="24"/>
                <w:szCs w:val="24"/>
              </w:rPr>
              <w:t>DX:</w:t>
            </w:r>
            <w:r>
              <w:rPr>
                <w:sz w:val="24"/>
                <w:szCs w:val="24"/>
              </w:rPr>
              <w:t xml:space="preserve"> </w:t>
            </w:r>
            <w:r w:rsidRPr="005A3A1D">
              <w:rPr>
                <w:sz w:val="24"/>
                <w:szCs w:val="24"/>
              </w:rPr>
              <w:t>95903 Bristol 3</w:t>
            </w:r>
          </w:p>
        </w:tc>
      </w:tr>
      <w:tr w:rsidR="0079059B" w:rsidRPr="003310CD" w14:paraId="6FBF9CE6" w14:textId="77777777" w:rsidTr="003310CD">
        <w:tc>
          <w:tcPr>
            <w:tcW w:w="4500" w:type="dxa"/>
            <w:shd w:val="clear" w:color="auto" w:fill="auto"/>
          </w:tcPr>
          <w:p w14:paraId="33A38097" w14:textId="77777777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Contact details</w:t>
            </w:r>
          </w:p>
        </w:tc>
        <w:tc>
          <w:tcPr>
            <w:tcW w:w="5400" w:type="dxa"/>
            <w:shd w:val="clear" w:color="auto" w:fill="auto"/>
          </w:tcPr>
          <w:p w14:paraId="2289015D" w14:textId="75A6E596" w:rsidR="00307EEE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BPC </w:t>
            </w:r>
            <w:r w:rsidR="00307EEE" w:rsidRPr="003310CD">
              <w:rPr>
                <w:sz w:val="24"/>
                <w:szCs w:val="24"/>
              </w:rPr>
              <w:t>Clerk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 w:rsidR="005A3A1D">
              <w:rPr>
                <w:sz w:val="24"/>
                <w:szCs w:val="24"/>
              </w:rPr>
              <w:t>0117 366 4860</w:t>
            </w:r>
          </w:p>
          <w:p w14:paraId="7D0624D3" w14:textId="301929E6" w:rsidR="00497E9E" w:rsidRPr="003310C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r w:rsidR="00B45A74">
              <w:t>bristol</w:t>
            </w:r>
            <w:r w:rsidR="00226782">
              <w:t>specialist</w:t>
            </w:r>
            <w:r w:rsidR="00B45A74">
              <w:t>@justice.gov.uk</w:t>
            </w:r>
          </w:p>
        </w:tc>
      </w:tr>
    </w:tbl>
    <w:p w14:paraId="24F31346" w14:textId="77777777" w:rsidR="00BA2D3E" w:rsidRPr="00BA2D3E" w:rsidRDefault="00BA2D3E" w:rsidP="00BA2D3E">
      <w:pPr>
        <w:rPr>
          <w:sz w:val="24"/>
          <w:szCs w:val="24"/>
        </w:rPr>
      </w:pPr>
    </w:p>
    <w:sectPr w:rsidR="00BA2D3E" w:rsidRPr="00BA2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50C1"/>
    <w:multiLevelType w:val="hybridMultilevel"/>
    <w:tmpl w:val="9B022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02A9"/>
    <w:multiLevelType w:val="hybridMultilevel"/>
    <w:tmpl w:val="96861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7B09"/>
    <w:multiLevelType w:val="hybridMultilevel"/>
    <w:tmpl w:val="056EA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67FC"/>
    <w:multiLevelType w:val="hybridMultilevel"/>
    <w:tmpl w:val="11AA2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471E"/>
    <w:multiLevelType w:val="hybridMultilevel"/>
    <w:tmpl w:val="2006C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2181A"/>
    <w:multiLevelType w:val="hybridMultilevel"/>
    <w:tmpl w:val="4FBA2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F7679"/>
    <w:multiLevelType w:val="hybridMultilevel"/>
    <w:tmpl w:val="99362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851A5"/>
    <w:multiLevelType w:val="hybridMultilevel"/>
    <w:tmpl w:val="324258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743E"/>
    <w:multiLevelType w:val="hybridMultilevel"/>
    <w:tmpl w:val="6972A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427C4"/>
    <w:multiLevelType w:val="hybridMultilevel"/>
    <w:tmpl w:val="391423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379">
    <w:abstractNumId w:val="2"/>
  </w:num>
  <w:num w:numId="2" w16cid:durableId="1642886592">
    <w:abstractNumId w:val="7"/>
  </w:num>
  <w:num w:numId="3" w16cid:durableId="283928700">
    <w:abstractNumId w:val="5"/>
  </w:num>
  <w:num w:numId="4" w16cid:durableId="1989282679">
    <w:abstractNumId w:val="9"/>
  </w:num>
  <w:num w:numId="5" w16cid:durableId="214706127">
    <w:abstractNumId w:val="1"/>
  </w:num>
  <w:num w:numId="6" w16cid:durableId="2091854151">
    <w:abstractNumId w:val="8"/>
  </w:num>
  <w:num w:numId="7" w16cid:durableId="819535809">
    <w:abstractNumId w:val="0"/>
  </w:num>
  <w:num w:numId="8" w16cid:durableId="2003700518">
    <w:abstractNumId w:val="3"/>
  </w:num>
  <w:num w:numId="9" w16cid:durableId="645277379">
    <w:abstractNumId w:val="4"/>
  </w:num>
  <w:num w:numId="10" w16cid:durableId="639068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70"/>
    <w:rsid w:val="00005D99"/>
    <w:rsid w:val="00007EDF"/>
    <w:rsid w:val="00036980"/>
    <w:rsid w:val="0006685E"/>
    <w:rsid w:val="00070D7E"/>
    <w:rsid w:val="000A5CCB"/>
    <w:rsid w:val="000A6A65"/>
    <w:rsid w:val="000B4A66"/>
    <w:rsid w:val="000B566E"/>
    <w:rsid w:val="000B7F7E"/>
    <w:rsid w:val="000E3728"/>
    <w:rsid w:val="00102843"/>
    <w:rsid w:val="0010709F"/>
    <w:rsid w:val="001142BC"/>
    <w:rsid w:val="00130C37"/>
    <w:rsid w:val="00153B29"/>
    <w:rsid w:val="001570F5"/>
    <w:rsid w:val="001639BA"/>
    <w:rsid w:val="0017328C"/>
    <w:rsid w:val="00183C4F"/>
    <w:rsid w:val="00186D04"/>
    <w:rsid w:val="001A4CCE"/>
    <w:rsid w:val="001C7D55"/>
    <w:rsid w:val="001D32FC"/>
    <w:rsid w:val="00207C1E"/>
    <w:rsid w:val="00226782"/>
    <w:rsid w:val="00231143"/>
    <w:rsid w:val="002366B1"/>
    <w:rsid w:val="00236C83"/>
    <w:rsid w:val="002957F2"/>
    <w:rsid w:val="002A2732"/>
    <w:rsid w:val="002C3736"/>
    <w:rsid w:val="00307EEE"/>
    <w:rsid w:val="00315386"/>
    <w:rsid w:val="003310CD"/>
    <w:rsid w:val="003323F0"/>
    <w:rsid w:val="00355495"/>
    <w:rsid w:val="00361163"/>
    <w:rsid w:val="00362A9A"/>
    <w:rsid w:val="003924D0"/>
    <w:rsid w:val="003A2CB2"/>
    <w:rsid w:val="003C3CE9"/>
    <w:rsid w:val="003C6A68"/>
    <w:rsid w:val="004261DC"/>
    <w:rsid w:val="00426981"/>
    <w:rsid w:val="00427F1E"/>
    <w:rsid w:val="00427F2E"/>
    <w:rsid w:val="004374DF"/>
    <w:rsid w:val="0049540B"/>
    <w:rsid w:val="00497E9E"/>
    <w:rsid w:val="004B6EFB"/>
    <w:rsid w:val="004C257D"/>
    <w:rsid w:val="004E1316"/>
    <w:rsid w:val="004E5FB1"/>
    <w:rsid w:val="00506FA3"/>
    <w:rsid w:val="0055399D"/>
    <w:rsid w:val="005A0A28"/>
    <w:rsid w:val="005A3A1D"/>
    <w:rsid w:val="005E1B7B"/>
    <w:rsid w:val="005F0E33"/>
    <w:rsid w:val="006A0AA4"/>
    <w:rsid w:val="006B044B"/>
    <w:rsid w:val="006B5E38"/>
    <w:rsid w:val="006C5561"/>
    <w:rsid w:val="006D6416"/>
    <w:rsid w:val="006F56F6"/>
    <w:rsid w:val="00756D35"/>
    <w:rsid w:val="00763A85"/>
    <w:rsid w:val="0079059B"/>
    <w:rsid w:val="007C4A8C"/>
    <w:rsid w:val="007D059E"/>
    <w:rsid w:val="007D1B00"/>
    <w:rsid w:val="008300C8"/>
    <w:rsid w:val="0083161D"/>
    <w:rsid w:val="00832FC4"/>
    <w:rsid w:val="00843556"/>
    <w:rsid w:val="0087268C"/>
    <w:rsid w:val="00886129"/>
    <w:rsid w:val="008A05DD"/>
    <w:rsid w:val="008B2A34"/>
    <w:rsid w:val="00900C41"/>
    <w:rsid w:val="00941E7B"/>
    <w:rsid w:val="00947D8C"/>
    <w:rsid w:val="0096492C"/>
    <w:rsid w:val="00975E51"/>
    <w:rsid w:val="009766AB"/>
    <w:rsid w:val="00980F91"/>
    <w:rsid w:val="009A69D1"/>
    <w:rsid w:val="009B3A32"/>
    <w:rsid w:val="009E0ECE"/>
    <w:rsid w:val="009E427C"/>
    <w:rsid w:val="009F74E8"/>
    <w:rsid w:val="00A64335"/>
    <w:rsid w:val="00A71C01"/>
    <w:rsid w:val="00A71F21"/>
    <w:rsid w:val="00A73A4C"/>
    <w:rsid w:val="00A873E6"/>
    <w:rsid w:val="00B45A74"/>
    <w:rsid w:val="00B46473"/>
    <w:rsid w:val="00B668E0"/>
    <w:rsid w:val="00B720F3"/>
    <w:rsid w:val="00B74117"/>
    <w:rsid w:val="00B750FD"/>
    <w:rsid w:val="00B83924"/>
    <w:rsid w:val="00B95D2B"/>
    <w:rsid w:val="00BA2D3E"/>
    <w:rsid w:val="00BE1722"/>
    <w:rsid w:val="00BE7F06"/>
    <w:rsid w:val="00C122C4"/>
    <w:rsid w:val="00C16C28"/>
    <w:rsid w:val="00C2347E"/>
    <w:rsid w:val="00C41350"/>
    <w:rsid w:val="00C50C76"/>
    <w:rsid w:val="00C50DCB"/>
    <w:rsid w:val="00C664AD"/>
    <w:rsid w:val="00C66702"/>
    <w:rsid w:val="00C7359F"/>
    <w:rsid w:val="00CA4562"/>
    <w:rsid w:val="00CD2F4D"/>
    <w:rsid w:val="00D03070"/>
    <w:rsid w:val="00D20F9A"/>
    <w:rsid w:val="00D2108A"/>
    <w:rsid w:val="00D249AC"/>
    <w:rsid w:val="00D266D1"/>
    <w:rsid w:val="00D55BD4"/>
    <w:rsid w:val="00D63271"/>
    <w:rsid w:val="00D637B1"/>
    <w:rsid w:val="00D7082E"/>
    <w:rsid w:val="00DA0FBA"/>
    <w:rsid w:val="00DB19A1"/>
    <w:rsid w:val="00DF4F2C"/>
    <w:rsid w:val="00E567C2"/>
    <w:rsid w:val="00E60B41"/>
    <w:rsid w:val="00E61741"/>
    <w:rsid w:val="00E73DCA"/>
    <w:rsid w:val="00EA1DC2"/>
    <w:rsid w:val="00EB556C"/>
    <w:rsid w:val="00F90278"/>
    <w:rsid w:val="00F97BDE"/>
    <w:rsid w:val="00FA07ED"/>
    <w:rsid w:val="00FC28BB"/>
    <w:rsid w:val="00FC6FE6"/>
    <w:rsid w:val="00FE119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FBA1F"/>
  <w15:chartTrackingRefBased/>
  <w15:docId w15:val="{2D8BCCF1-211C-409A-8F43-E50B629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61D"/>
    <w:rPr>
      <w:rFonts w:ascii="Tahoma" w:hAnsi="Tahoma" w:cs="Tahoma"/>
      <w:sz w:val="16"/>
      <w:szCs w:val="16"/>
    </w:rPr>
  </w:style>
  <w:style w:type="character" w:styleId="Hyperlink">
    <w:name w:val="Hyperlink"/>
    <w:rsid w:val="00DF4F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C37"/>
    <w:pPr>
      <w:ind w:left="720"/>
    </w:pPr>
  </w:style>
  <w:style w:type="character" w:styleId="UnresolvedMention">
    <w:name w:val="Unresolved Mention"/>
    <w:uiPriority w:val="99"/>
    <w:semiHidden/>
    <w:unhideWhenUsed/>
    <w:rsid w:val="004C257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1A4C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4C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A4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4CC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8612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F9F776926E748A0349B254838B86F" ma:contentTypeVersion="12" ma:contentTypeDescription="Create a new document." ma:contentTypeScope="" ma:versionID="c781b88e7b103f71b5cf57a0def894f3">
  <xsd:schema xmlns:xsd="http://www.w3.org/2001/XMLSchema" xmlns:xs="http://www.w3.org/2001/XMLSchema" xmlns:p="http://schemas.microsoft.com/office/2006/metadata/properties" xmlns:ns3="daaa5965-d4a4-4498-9ac1-de45f81763c0" xmlns:ns4="ef8bed2f-b3e5-4b92-b107-922c564c1b6e" targetNamespace="http://schemas.microsoft.com/office/2006/metadata/properties" ma:root="true" ma:fieldsID="8603300739ef8c62c551ca1021e72c3e" ns3:_="" ns4:_="">
    <xsd:import namespace="daaa5965-d4a4-4498-9ac1-de45f81763c0"/>
    <xsd:import namespace="ef8bed2f-b3e5-4b92-b107-922c564c1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5965-d4a4-4498-9ac1-de45f8176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bed2f-b3e5-4b92-b107-922c564c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0E051-F4D0-4147-93A1-FD1B570B0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DEB75-E183-4280-B5ED-D8F6E3D75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09133-9AAD-46E4-8CDC-7F22E4E8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a5965-d4a4-4498-9ac1-de45f81763c0"/>
    <ds:schemaRef ds:uri="ef8bed2f-b3e5-4b92-b107-922c564c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mailto:BPC.Birmingham@justice.gov.uk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Russen QC, HHJ Jonathan</dc:creator>
  <cp:keywords/>
  <dc:description/>
  <cp:lastModifiedBy>Zacaroli, Mr Justice</cp:lastModifiedBy>
  <cp:revision>2</cp:revision>
  <cp:lastPrinted>2023-01-11T12:17:00Z</cp:lastPrinted>
  <dcterms:created xsi:type="dcterms:W3CDTF">2023-01-11T21:06:00Z</dcterms:created>
  <dcterms:modified xsi:type="dcterms:W3CDTF">2023-01-11T21:06:00Z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0x01010083CF9F776926E748A0349B254838B86F</vt:lpwstr>
  </property>
</Properties>
</file>