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b/>
          <w:bCs/>
          <w:color w:val="8F23B3"/>
          <w:sz w:val="52"/>
          <w:szCs w:val="52"/>
          <w:lang w:eastAsia="en-GB"/>
        </w:rPr>
        <w:id w:val="-1373296146"/>
        <w:docPartObj>
          <w:docPartGallery w:val="Cover Pages"/>
          <w:docPartUnique/>
        </w:docPartObj>
      </w:sdtPr>
      <w:sdtEndPr>
        <w:rPr>
          <w:color w:val="7030A0"/>
        </w:rPr>
      </w:sdtEndPr>
      <w:sdtContent>
        <w:p w14:paraId="73C0E760" w14:textId="58EC4B28" w:rsidR="00EF1C95" w:rsidRDefault="00EF1C95"/>
        <w:p w14:paraId="66F5FE48" w14:textId="5482CF81" w:rsidR="00EF1C95" w:rsidRPr="004E6F72" w:rsidRDefault="001B2F02" w:rsidP="004E6F72">
          <w:pPr>
            <w:pStyle w:val="Cover-Title"/>
            <w:spacing w:line="276" w:lineRule="auto"/>
            <w:rPr>
              <w:noProof/>
            </w:rPr>
          </w:pPr>
          <w:r>
            <w:rPr>
              <w:noProof/>
            </w:rPr>
            <mc:AlternateContent>
              <mc:Choice Requires="wps">
                <w:drawing>
                  <wp:anchor distT="0" distB="0" distL="114300" distR="114300" simplePos="0" relativeHeight="251658241" behindDoc="0" locked="0" layoutInCell="1" allowOverlap="1" wp14:anchorId="75BFC1BA" wp14:editId="3E7EA835">
                    <wp:simplePos x="0" y="0"/>
                    <wp:positionH relativeFrom="margin">
                      <wp:align>left</wp:align>
                    </wp:positionH>
                    <wp:positionV relativeFrom="paragraph">
                      <wp:posOffset>4617720</wp:posOffset>
                    </wp:positionV>
                    <wp:extent cx="5819389" cy="200025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5819389" cy="2000250"/>
                            </a:xfrm>
                            <a:prstGeom prst="rect">
                              <a:avLst/>
                            </a:prstGeom>
                            <a:solidFill>
                              <a:schemeClr val="lt1"/>
                            </a:solidFill>
                            <a:ln w="6350">
                              <a:solidFill>
                                <a:prstClr val="black"/>
                              </a:solidFill>
                            </a:ln>
                          </wps:spPr>
                          <wps:txbx>
                            <w:txbxContent>
                              <w:p w14:paraId="713FACFE" w14:textId="1CAC919A" w:rsidR="00B03D83" w:rsidRDefault="00092242" w:rsidP="00B03D83">
                                <w:pPr>
                                  <w:spacing w:after="0" w:line="240" w:lineRule="auto"/>
                                  <w:rPr>
                                    <w:rFonts w:eastAsia="Times New Roman"/>
                                  </w:rPr>
                                </w:pPr>
                                <w:r>
                                  <w:t>T</w:t>
                                </w:r>
                                <w:r w:rsidR="0015194D" w:rsidRPr="00206232">
                                  <w:t>h</w:t>
                                </w:r>
                                <w:r w:rsidR="001077D6">
                                  <w:t xml:space="preserve">e purpose of this document is </w:t>
                                </w:r>
                                <w:r w:rsidR="00E10D09">
                                  <w:rPr>
                                    <w:rFonts w:eastAsia="Times New Roman"/>
                                  </w:rPr>
                                  <w:t xml:space="preserve">to </w:t>
                                </w:r>
                                <w:r w:rsidR="00B03D83">
                                  <w:rPr>
                                    <w:rFonts w:eastAsia="Times New Roman"/>
                                  </w:rPr>
                                  <w:t xml:space="preserve">provide </w:t>
                                </w:r>
                                <w:r w:rsidR="00644F57">
                                  <w:rPr>
                                    <w:rFonts w:eastAsia="Times New Roman"/>
                                  </w:rPr>
                                  <w:t xml:space="preserve">initial </w:t>
                                </w:r>
                                <w:r w:rsidR="00B03D83">
                                  <w:rPr>
                                    <w:rFonts w:eastAsia="Times New Roman"/>
                                  </w:rPr>
                                  <w:t xml:space="preserve">guidance to legal practitioners and advice agencies on DAPNs and DAPOs, </w:t>
                                </w:r>
                                <w:r w:rsidR="006C6419">
                                  <w:rPr>
                                    <w:rFonts w:eastAsia="Times New Roman"/>
                                  </w:rPr>
                                  <w:t xml:space="preserve">to help </w:t>
                                </w:r>
                                <w:r w:rsidR="00437D08">
                                  <w:rPr>
                                    <w:rFonts w:eastAsia="Times New Roman"/>
                                  </w:rPr>
                                  <w:t xml:space="preserve">them </w:t>
                                </w:r>
                                <w:r w:rsidR="006C6419">
                                  <w:rPr>
                                    <w:rFonts w:eastAsia="Times New Roman"/>
                                  </w:rPr>
                                  <w:t xml:space="preserve">prepare for </w:t>
                                </w:r>
                                <w:r w:rsidR="0060495D">
                                  <w:rPr>
                                    <w:rFonts w:eastAsia="Times New Roman"/>
                                  </w:rPr>
                                  <w:t>und</w:t>
                                </w:r>
                                <w:r w:rsidR="00CE47D2">
                                  <w:rPr>
                                    <w:rFonts w:eastAsia="Times New Roman"/>
                                  </w:rPr>
                                  <w:t xml:space="preserve">ertaking </w:t>
                                </w:r>
                                <w:r w:rsidR="006C6419">
                                  <w:rPr>
                                    <w:rFonts w:eastAsia="Times New Roman"/>
                                  </w:rPr>
                                  <w:t xml:space="preserve">DAPO casework in </w:t>
                                </w:r>
                                <w:r w:rsidR="009D08AF">
                                  <w:rPr>
                                    <w:rFonts w:eastAsia="Times New Roman"/>
                                  </w:rPr>
                                  <w:t xml:space="preserve">the </w:t>
                                </w:r>
                                <w:r w:rsidR="006C6419">
                                  <w:rPr>
                                    <w:rFonts w:eastAsia="Times New Roman"/>
                                  </w:rPr>
                                  <w:t>pilot sites.</w:t>
                                </w:r>
                                <w:r w:rsidR="00352849">
                                  <w:rPr>
                                    <w:rFonts w:eastAsia="Times New Roman"/>
                                  </w:rPr>
                                  <w:t xml:space="preserve"> Th</w:t>
                                </w:r>
                                <w:r w:rsidR="00C40E45">
                                  <w:rPr>
                                    <w:rFonts w:eastAsia="Times New Roman"/>
                                  </w:rPr>
                                  <w:t>is</w:t>
                                </w:r>
                                <w:r w:rsidR="00352849">
                                  <w:rPr>
                                    <w:rFonts w:eastAsia="Times New Roman"/>
                                  </w:rPr>
                                  <w:t xml:space="preserve"> guidance may be updated </w:t>
                                </w:r>
                                <w:r w:rsidR="00263F87">
                                  <w:rPr>
                                    <w:rFonts w:eastAsia="Times New Roman"/>
                                  </w:rPr>
                                  <w:t xml:space="preserve">as necessary </w:t>
                                </w:r>
                                <w:r w:rsidR="00CF02DC">
                                  <w:rPr>
                                    <w:rFonts w:eastAsia="Times New Roman"/>
                                  </w:rPr>
                                  <w:t>throughout</w:t>
                                </w:r>
                                <w:r w:rsidR="00263F87">
                                  <w:rPr>
                                    <w:rFonts w:eastAsia="Times New Roman"/>
                                  </w:rPr>
                                  <w:t xml:space="preserve"> the life of the pilot</w:t>
                                </w:r>
                                <w:r w:rsidR="00CF02DC">
                                  <w:rPr>
                                    <w:rFonts w:eastAsia="Times New Roman"/>
                                  </w:rPr>
                                  <w:t>.</w:t>
                                </w:r>
                              </w:p>
                              <w:p w14:paraId="438C1223" w14:textId="77777777" w:rsidR="00563D8E" w:rsidRDefault="00563D8E" w:rsidP="00B03D83">
                                <w:pPr>
                                  <w:spacing w:after="0" w:line="240" w:lineRule="auto"/>
                                  <w:rPr>
                                    <w:rFonts w:eastAsia="Times New Roman"/>
                                  </w:rPr>
                                </w:pPr>
                              </w:p>
                              <w:p w14:paraId="02DED85D" w14:textId="317C5641" w:rsidR="00563D8E" w:rsidRPr="00BB3073" w:rsidRDefault="00563D8E" w:rsidP="00B03D83">
                                <w:pPr>
                                  <w:spacing w:after="0" w:line="240" w:lineRule="auto"/>
                                  <w:rPr>
                                    <w:rFonts w:eastAsia="Times New Roman"/>
                                  </w:rPr>
                                </w:pPr>
                                <w:r>
                                  <w:rPr>
                                    <w:rFonts w:eastAsia="Times New Roman"/>
                                  </w:rPr>
                                  <w:t xml:space="preserve">Please refer to the Legal Aid Agency </w:t>
                                </w:r>
                                <w:r w:rsidR="008E6411">
                                  <w:rPr>
                                    <w:rFonts w:eastAsia="Times New Roman"/>
                                  </w:rPr>
                                  <w:t>contract</w:t>
                                </w:r>
                                <w:r w:rsidR="0081606C">
                                  <w:rPr>
                                    <w:rFonts w:eastAsia="Times New Roman"/>
                                  </w:rPr>
                                  <w:t xml:space="preserve"> documentation</w:t>
                                </w:r>
                                <w:r w:rsidR="005E6476">
                                  <w:rPr>
                                    <w:rFonts w:eastAsia="Times New Roman"/>
                                  </w:rPr>
                                  <w:t>,</w:t>
                                </w:r>
                                <w:r w:rsidR="00A6346B">
                                  <w:rPr>
                                    <w:rFonts w:eastAsia="Times New Roman"/>
                                  </w:rPr>
                                  <w:t xml:space="preserve"> for detailed information </w:t>
                                </w:r>
                                <w:r w:rsidR="00D71050">
                                  <w:rPr>
                                    <w:rFonts w:eastAsia="Times New Roman"/>
                                  </w:rPr>
                                  <w:t>for legal aid providers.</w:t>
                                </w:r>
                              </w:p>
                              <w:p w14:paraId="4A31E3B8" w14:textId="38915216" w:rsidR="00847556" w:rsidRPr="00B03D83" w:rsidRDefault="00847556" w:rsidP="00B03D83">
                                <w:pPr>
                                  <w:spacing w:after="0" w:line="240" w:lineRule="auto"/>
                                  <w:rPr>
                                    <w:rFonts w:eastAsia="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shapetype id="_x0000_t202" coordsize="21600,21600" o:spt="202" path="m,l,21600r21600,l21600,xe" w14:anchorId="75BFC1BA">
                    <v:stroke joinstyle="miter"/>
                    <v:path gradientshapeok="t" o:connecttype="rect"/>
                  </v:shapetype>
                  <v:shape id="Text Box 2" style="position:absolute;margin-left:0;margin-top:363.6pt;width:458.2pt;height:15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">
                    <v:textbox>
                      <w:txbxContent>
                        <w:p w:rsidR="00B03D83" w:rsidP="00B03D83" w:rsidRDefault="00092242" w14:paraId="713FACFE" w14:textId="1CAC919A">
                          <w:pPr>
                            <w:spacing w:after="0" w:line="240" w:lineRule="auto"/>
                            <w:rPr>
                              <w:rFonts w:eastAsia="Times New Roman"/>
                            </w:rPr>
                          </w:pPr>
                          <w:r>
                            <w:t>T</w:t>
                          </w:r>
                          <w:r w:rsidRPr="00206232" w:rsidR="0015194D">
                            <w:t>h</w:t>
                          </w:r>
                          <w:r w:rsidR="001077D6">
                            <w:t xml:space="preserve">e purpose of this document is </w:t>
                          </w:r>
                          <w:r w:rsidR="00E10D09">
                            <w:rPr>
                              <w:rFonts w:eastAsia="Times New Roman"/>
                            </w:rPr>
                            <w:t xml:space="preserve">to </w:t>
                          </w:r>
                          <w:r w:rsidR="00B03D83">
                            <w:rPr>
                              <w:rFonts w:eastAsia="Times New Roman"/>
                            </w:rPr>
                            <w:t xml:space="preserve">provide </w:t>
                          </w:r>
                          <w:r w:rsidR="00644F57">
                            <w:rPr>
                              <w:rFonts w:eastAsia="Times New Roman"/>
                            </w:rPr>
                            <w:t xml:space="preserve">initial </w:t>
                          </w:r>
                          <w:r w:rsidR="00B03D83">
                            <w:rPr>
                              <w:rFonts w:eastAsia="Times New Roman"/>
                            </w:rPr>
                            <w:t xml:space="preserve">guidance to legal practitioners and advice agencies on DAPNs and DAPOs, </w:t>
                          </w:r>
                          <w:r w:rsidR="006C6419">
                            <w:rPr>
                              <w:rFonts w:eastAsia="Times New Roman"/>
                            </w:rPr>
                            <w:t xml:space="preserve">to help </w:t>
                          </w:r>
                          <w:r w:rsidR="00437D08">
                            <w:rPr>
                              <w:rFonts w:eastAsia="Times New Roman"/>
                            </w:rPr>
                            <w:t xml:space="preserve">them </w:t>
                          </w:r>
                          <w:r w:rsidR="006C6419">
                            <w:rPr>
                              <w:rFonts w:eastAsia="Times New Roman"/>
                            </w:rPr>
                            <w:t xml:space="preserve">prepare for </w:t>
                          </w:r>
                          <w:r w:rsidR="0060495D">
                            <w:rPr>
                              <w:rFonts w:eastAsia="Times New Roman"/>
                            </w:rPr>
                            <w:t>und</w:t>
                          </w:r>
                          <w:r w:rsidR="00CE47D2">
                            <w:rPr>
                              <w:rFonts w:eastAsia="Times New Roman"/>
                            </w:rPr>
                            <w:t xml:space="preserve">ertaking </w:t>
                          </w:r>
                          <w:r w:rsidR="006C6419">
                            <w:rPr>
                              <w:rFonts w:eastAsia="Times New Roman"/>
                            </w:rPr>
                            <w:t xml:space="preserve">DAPO casework in </w:t>
                          </w:r>
                          <w:r w:rsidR="009D08AF">
                            <w:rPr>
                              <w:rFonts w:eastAsia="Times New Roman"/>
                            </w:rPr>
                            <w:t xml:space="preserve">the </w:t>
                          </w:r>
                          <w:r w:rsidR="006C6419">
                            <w:rPr>
                              <w:rFonts w:eastAsia="Times New Roman"/>
                            </w:rPr>
                            <w:t>pilot sites.</w:t>
                          </w:r>
                          <w:r w:rsidR="00352849">
                            <w:rPr>
                              <w:rFonts w:eastAsia="Times New Roman"/>
                            </w:rPr>
                            <w:t xml:space="preserve"> Th</w:t>
                          </w:r>
                          <w:r w:rsidR="00C40E45">
                            <w:rPr>
                              <w:rFonts w:eastAsia="Times New Roman"/>
                            </w:rPr>
                            <w:t>is</w:t>
                          </w:r>
                          <w:r w:rsidR="00352849">
                            <w:rPr>
                              <w:rFonts w:eastAsia="Times New Roman"/>
                            </w:rPr>
                            <w:t xml:space="preserve"> guidance may be updated </w:t>
                          </w:r>
                          <w:r w:rsidR="00263F87">
                            <w:rPr>
                              <w:rFonts w:eastAsia="Times New Roman"/>
                            </w:rPr>
                            <w:t xml:space="preserve">as necessary </w:t>
                          </w:r>
                          <w:r w:rsidR="00CF02DC">
                            <w:rPr>
                              <w:rFonts w:eastAsia="Times New Roman"/>
                            </w:rPr>
                            <w:t>throughout</w:t>
                          </w:r>
                          <w:r w:rsidR="00263F87">
                            <w:rPr>
                              <w:rFonts w:eastAsia="Times New Roman"/>
                            </w:rPr>
                            <w:t xml:space="preserve"> the life of the pilot</w:t>
                          </w:r>
                          <w:r w:rsidR="00CF02DC">
                            <w:rPr>
                              <w:rFonts w:eastAsia="Times New Roman"/>
                            </w:rPr>
                            <w:t>.</w:t>
                          </w:r>
                        </w:p>
                        <w:p w:rsidR="00563D8E" w:rsidP="00B03D83" w:rsidRDefault="00563D8E" w14:paraId="438C1223" w14:textId="77777777">
                          <w:pPr>
                            <w:spacing w:after="0" w:line="240" w:lineRule="auto"/>
                            <w:rPr>
                              <w:rFonts w:eastAsia="Times New Roman"/>
                            </w:rPr>
                          </w:pPr>
                        </w:p>
                        <w:p w:rsidRPr="00BB3073" w:rsidR="00563D8E" w:rsidP="00B03D83" w:rsidRDefault="00563D8E" w14:paraId="02DED85D" w14:textId="317C5641">
                          <w:pPr>
                            <w:spacing w:after="0" w:line="240" w:lineRule="auto"/>
                            <w:rPr>
                              <w:rFonts w:eastAsia="Times New Roman"/>
                            </w:rPr>
                          </w:pPr>
                          <w:r>
                            <w:rPr>
                              <w:rFonts w:eastAsia="Times New Roman"/>
                            </w:rPr>
                            <w:t xml:space="preserve">Please refer to the Legal Aid Agency </w:t>
                          </w:r>
                          <w:r w:rsidR="008E6411">
                            <w:rPr>
                              <w:rFonts w:eastAsia="Times New Roman"/>
                            </w:rPr>
                            <w:t>contract</w:t>
                          </w:r>
                          <w:r w:rsidR="0081606C">
                            <w:rPr>
                              <w:rFonts w:eastAsia="Times New Roman"/>
                            </w:rPr>
                            <w:t xml:space="preserve"> documentation</w:t>
                          </w:r>
                          <w:r w:rsidR="005E6476">
                            <w:rPr>
                              <w:rFonts w:eastAsia="Times New Roman"/>
                            </w:rPr>
                            <w:t>,</w:t>
                          </w:r>
                          <w:r w:rsidR="00A6346B">
                            <w:rPr>
                              <w:rFonts w:eastAsia="Times New Roman"/>
                            </w:rPr>
                            <w:t xml:space="preserve"> for detailed information </w:t>
                          </w:r>
                          <w:r w:rsidR="00D71050">
                            <w:rPr>
                              <w:rFonts w:eastAsia="Times New Roman"/>
                            </w:rPr>
                            <w:t>for legal aid providers.</w:t>
                          </w:r>
                        </w:p>
                        <w:p w:rsidRPr="00B03D83" w:rsidR="00847556" w:rsidP="00B03D83" w:rsidRDefault="00847556" w14:paraId="4A31E3B8" w14:textId="38915216">
                          <w:pPr>
                            <w:spacing w:after="0" w:line="240" w:lineRule="auto"/>
                            <w:rPr>
                              <w:rFonts w:eastAsia="Times New Roman"/>
                            </w:rPr>
                          </w:pPr>
                        </w:p>
                      </w:txbxContent>
                    </v:textbox>
                    <w10:wrap anchorx="margin"/>
                  </v:shape>
                </w:pict>
              </mc:Fallback>
            </mc:AlternateContent>
          </w:r>
          <w:r>
            <w:rPr>
              <w:noProof/>
            </w:rPr>
            <w:drawing>
              <wp:inline distT="0" distB="0" distL="0" distR="0" wp14:anchorId="0DD6B933" wp14:editId="0772000C">
                <wp:extent cx="3677314" cy="844550"/>
                <wp:effectExtent l="0" t="0" r="0" b="0"/>
                <wp:docPr id="214822739" name="Picture 214822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22739" name="Picture 21482273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677314" cy="844550"/>
                        </a:xfrm>
                        <a:prstGeom prst="rect">
                          <a:avLst/>
                        </a:prstGeom>
                      </pic:spPr>
                    </pic:pic>
                  </a:graphicData>
                </a:graphic>
              </wp:inline>
            </w:drawing>
          </w:r>
          <w:r w:rsidR="00EF1C95">
            <w:rPr>
              <w:noProof/>
            </w:rPr>
            <mc:AlternateContent>
              <mc:Choice Requires="wps">
                <w:drawing>
                  <wp:anchor distT="0" distB="0" distL="182880" distR="182880" simplePos="0" relativeHeight="251658240" behindDoc="0" locked="0" layoutInCell="1" allowOverlap="1" wp14:anchorId="2659D931" wp14:editId="1B5C13AA">
                    <wp:simplePos x="0" y="0"/>
                    <wp:positionH relativeFrom="margin">
                      <wp:align>left</wp:align>
                    </wp:positionH>
                    <wp:positionV relativeFrom="page">
                      <wp:posOffset>3479800</wp:posOffset>
                    </wp:positionV>
                    <wp:extent cx="5981700" cy="1913255"/>
                    <wp:effectExtent l="0" t="0" r="0" b="10795"/>
                    <wp:wrapSquare wrapText="bothSides"/>
                    <wp:docPr id="131" name="Text Box 131"/>
                    <wp:cNvGraphicFramePr/>
                    <a:graphic xmlns:a="http://schemas.openxmlformats.org/drawingml/2006/main">
                      <a:graphicData uri="http://schemas.microsoft.com/office/word/2010/wordprocessingShape">
                        <wps:wsp>
                          <wps:cNvSpPr txBox="1"/>
                          <wps:spPr>
                            <a:xfrm>
                              <a:off x="0" y="0"/>
                              <a:ext cx="5981700" cy="19133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2258C" w14:textId="77C9F0FD" w:rsidR="00EF1C95" w:rsidRPr="004E72BD" w:rsidRDefault="00000000" w:rsidP="004E6F72">
                                <w:pPr>
                                  <w:pStyle w:val="NoSpacing"/>
                                  <w:spacing w:before="40" w:after="560" w:line="216" w:lineRule="auto"/>
                                  <w:rPr>
                                    <w:color w:val="4472C4" w:themeColor="accent1"/>
                                    <w:sz w:val="144"/>
                                    <w:szCs w:val="144"/>
                                  </w:rPr>
                                </w:pPr>
                                <w:sdt>
                                  <w:sdtPr>
                                    <w:rPr>
                                      <w:rFonts w:eastAsia="Times New Roman"/>
                                      <w:b/>
                                      <w:color w:val="8F23B3"/>
                                      <w:sz w:val="72"/>
                                      <w:szCs w:val="72"/>
                                      <w:lang w:eastAsia="en-GB"/>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B03D83">
                                      <w:rPr>
                                        <w:rFonts w:eastAsia="Times New Roman"/>
                                        <w:b/>
                                        <w:color w:val="8F23B3"/>
                                        <w:sz w:val="72"/>
                                        <w:szCs w:val="72"/>
                                        <w:lang w:eastAsia="en-GB"/>
                                      </w:rPr>
                                      <w:t>Guidance</w:t>
                                    </w:r>
                                  </w:sdtContent>
                                </w:sdt>
                              </w:p>
                              <w:sdt>
                                <w:sdtPr>
                                  <w:rPr>
                                    <w:rFonts w:eastAsia="Times New Roman"/>
                                    <w:b/>
                                    <w:color w:val="8F23B3"/>
                                    <w:sz w:val="32"/>
                                    <w:szCs w:val="32"/>
                                    <w:lang w:eastAsia="en-GB"/>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9775A87" w14:textId="63859B63" w:rsidR="00EF1C95" w:rsidRPr="004E72BD" w:rsidRDefault="00D229E3">
                                    <w:pPr>
                                      <w:pStyle w:val="NoSpacing"/>
                                      <w:spacing w:before="40" w:after="40"/>
                                      <w:rPr>
                                        <w:caps/>
                                        <w:color w:val="1F4E79" w:themeColor="accent5" w:themeShade="80"/>
                                        <w:sz w:val="32"/>
                                        <w:szCs w:val="32"/>
                                      </w:rPr>
                                    </w:pPr>
                                    <w:r>
                                      <w:rPr>
                                        <w:rFonts w:eastAsia="Times New Roman"/>
                                        <w:b/>
                                        <w:color w:val="8F23B3"/>
                                        <w:sz w:val="32"/>
                                        <w:szCs w:val="32"/>
                                        <w:lang w:eastAsia="en-GB"/>
                                      </w:rPr>
                                      <w:t>Domestic Abuse Protection Notices and Domestic Abuse Protection Orders (DAPNs and DAPOs)</w:t>
                                    </w:r>
                                  </w:p>
                                </w:sdtContent>
                              </w:sdt>
                              <w:sdt>
                                <w:sdtPr>
                                  <w:rPr>
                                    <w:b/>
                                    <w:bCs/>
                                    <w:cap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2D8D1D3" w14:textId="5C100B46" w:rsidR="00EF1C95" w:rsidRPr="000F76D1" w:rsidRDefault="00D21120">
                                    <w:pPr>
                                      <w:pStyle w:val="NoSpacing"/>
                                      <w:spacing w:before="80" w:after="40"/>
                                      <w:rPr>
                                        <w:b/>
                                        <w:bCs/>
                                        <w:caps/>
                                        <w:color w:val="5B9BD5" w:themeColor="accent5"/>
                                      </w:rPr>
                                    </w:pPr>
                                    <w:r>
                                      <w:rPr>
                                        <w:b/>
                                        <w:bCs/>
                                        <w:caps/>
                                      </w:rPr>
                                      <w:t xml:space="preserve">VERSION: </w:t>
                                    </w:r>
                                    <w:r w:rsidR="008356A3">
                                      <w:rPr>
                                        <w:b/>
                                        <w:bCs/>
                                        <w:caps/>
                                      </w:rPr>
                                      <w:t>APRIL</w:t>
                                    </w:r>
                                    <w:r w:rsidR="00443960">
                                      <w:rPr>
                                        <w:b/>
                                        <w:bCs/>
                                        <w:caps/>
                                      </w:rPr>
                                      <w:t xml:space="preserve"> 2025</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659D931" id="_x0000_t202" coordsize="21600,21600" o:spt="202" path="m,l,21600r21600,l21600,xe">
                    <v:stroke joinstyle="miter"/>
                    <v:path gradientshapeok="t" o:connecttype="rect"/>
                  </v:shapetype>
                  <v:shape id="Text Box 131" o:spid="_x0000_s1027" type="#_x0000_t202" style="position:absolute;margin-left:0;margin-top:274pt;width:471pt;height:150.65pt;z-index:251658240;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" filled="f" stroked="f" strokeweight=".5pt">
                    <v:textbox inset="0,0,0,0">
                      <w:txbxContent>
                        <w:p w14:paraId="6B52258C" w14:textId="77C9F0FD" w:rsidR="00EF1C95" w:rsidRPr="004E72BD" w:rsidRDefault="001270EA" w:rsidP="004E6F72">
                          <w:pPr>
                            <w:pStyle w:val="NoSpacing"/>
                            <w:spacing w:before="40" w:after="560" w:line="216" w:lineRule="auto"/>
                            <w:rPr>
                              <w:color w:val="4472C4" w:themeColor="accent1"/>
                              <w:sz w:val="144"/>
                              <w:szCs w:val="144"/>
                            </w:rPr>
                          </w:pPr>
                          <w:sdt>
                            <w:sdtPr>
                              <w:rPr>
                                <w:rFonts w:eastAsia="Times New Roman"/>
                                <w:b/>
                                <w:color w:val="8F23B3"/>
                                <w:sz w:val="72"/>
                                <w:szCs w:val="72"/>
                                <w:lang w:eastAsia="en-G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3D83">
                                <w:rPr>
                                  <w:rFonts w:eastAsia="Times New Roman"/>
                                  <w:b/>
                                  <w:color w:val="8F23B3"/>
                                  <w:sz w:val="72"/>
                                  <w:szCs w:val="72"/>
                                  <w:lang w:eastAsia="en-GB"/>
                                </w:rPr>
                                <w:t>Guidance</w:t>
                              </w:r>
                            </w:sdtContent>
                          </w:sdt>
                        </w:p>
                        <w:sdt>
                          <w:sdtPr>
                            <w:rPr>
                              <w:rFonts w:eastAsia="Times New Roman"/>
                              <w:b/>
                              <w:color w:val="8F23B3"/>
                              <w:sz w:val="32"/>
                              <w:szCs w:val="32"/>
                              <w:lang w:eastAsia="en-GB"/>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775A87" w14:textId="63859B63" w:rsidR="00EF1C95" w:rsidRPr="004E72BD" w:rsidRDefault="00D229E3">
                              <w:pPr>
                                <w:pStyle w:val="NoSpacing"/>
                                <w:spacing w:before="40" w:after="40"/>
                                <w:rPr>
                                  <w:caps/>
                                  <w:color w:val="1F4E79" w:themeColor="accent5" w:themeShade="80"/>
                                  <w:sz w:val="32"/>
                                  <w:szCs w:val="32"/>
                                </w:rPr>
                              </w:pPr>
                              <w:r>
                                <w:rPr>
                                  <w:rFonts w:eastAsia="Times New Roman"/>
                                  <w:b/>
                                  <w:color w:val="8F23B3"/>
                                  <w:sz w:val="32"/>
                                  <w:szCs w:val="32"/>
                                  <w:lang w:eastAsia="en-GB"/>
                                </w:rPr>
                                <w:t>Domestic Abuse Protection Notices and Domestic Abuse Protection Orders (DAPNs and DAPOs)</w:t>
                              </w:r>
                            </w:p>
                          </w:sdtContent>
                        </w:sdt>
                        <w:sdt>
                          <w:sdtPr>
                            <w:rPr>
                              <w:b/>
                              <w:bCs/>
                              <w:cap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2D8D1D3" w14:textId="5C100B46" w:rsidR="00EF1C95" w:rsidRPr="000F76D1" w:rsidRDefault="00D21120">
                              <w:pPr>
                                <w:pStyle w:val="NoSpacing"/>
                                <w:spacing w:before="80" w:after="40"/>
                                <w:rPr>
                                  <w:b/>
                                  <w:bCs/>
                                  <w:caps/>
                                  <w:color w:val="5B9BD5" w:themeColor="accent5"/>
                                </w:rPr>
                              </w:pPr>
                              <w:r>
                                <w:rPr>
                                  <w:b/>
                                  <w:bCs/>
                                  <w:caps/>
                                </w:rPr>
                                <w:t xml:space="preserve">VERSION: </w:t>
                              </w:r>
                              <w:r w:rsidR="008356A3">
                                <w:rPr>
                                  <w:b/>
                                  <w:bCs/>
                                  <w:caps/>
                                </w:rPr>
                                <w:t>APRIL</w:t>
                              </w:r>
                              <w:r w:rsidR="00443960">
                                <w:rPr>
                                  <w:b/>
                                  <w:bCs/>
                                  <w:caps/>
                                </w:rPr>
                                <w:t xml:space="preserve"> 2025</w:t>
                              </w:r>
                            </w:p>
                          </w:sdtContent>
                        </w:sdt>
                      </w:txbxContent>
                    </v:textbox>
                    <w10:wrap type="square" anchorx="margin" anchory="page"/>
                  </v:shape>
                </w:pict>
              </mc:Fallback>
            </mc:AlternateContent>
          </w:r>
          <w:r w:rsidR="00EF1C95">
            <w:rPr>
              <w:color w:val="7030A0"/>
            </w:rPr>
            <w:br w:type="page"/>
          </w:r>
        </w:p>
      </w:sdtContent>
    </w:sdt>
    <w:sdt>
      <w:sdtPr>
        <w:rPr>
          <w:sz w:val="26"/>
          <w:szCs w:val="26"/>
          <w:lang w:val="en-GB"/>
        </w:rPr>
        <w:id w:val="-1577116518"/>
        <w:docPartObj>
          <w:docPartGallery w:val="Table of Contents"/>
          <w:docPartUnique/>
        </w:docPartObj>
      </w:sdtPr>
      <w:sdtEndPr>
        <w:rPr>
          <w:noProof/>
        </w:rPr>
      </w:sdtEndPr>
      <w:sdtContent>
        <w:p w14:paraId="7BB48ED8" w14:textId="4B967AE8" w:rsidR="006B4C50" w:rsidRPr="00462137" w:rsidRDefault="006B4C50">
          <w:pPr>
            <w:pStyle w:val="TOCHeading"/>
            <w:rPr>
              <w:rFonts w:ascii="Arial" w:hAnsi="Arial" w:cs="Arial"/>
              <w:color w:val="7030A0"/>
              <w:sz w:val="40"/>
              <w:szCs w:val="40"/>
            </w:rPr>
          </w:pPr>
          <w:r w:rsidRPr="00462137">
            <w:rPr>
              <w:rFonts w:ascii="Arial" w:hAnsi="Arial" w:cs="Arial"/>
              <w:color w:val="7030A0"/>
              <w:sz w:val="40"/>
              <w:szCs w:val="40"/>
            </w:rPr>
            <w:t>Contents</w:t>
          </w:r>
        </w:p>
        <w:p w14:paraId="24979585" w14:textId="2E63731F" w:rsidR="0057161C" w:rsidRDefault="006B4C50">
          <w:pPr>
            <w:pStyle w:val="TOC1"/>
            <w:rPr>
              <w:rFonts w:asciiTheme="minorHAnsi" w:eastAsiaTheme="minorEastAsia" w:hAnsiTheme="minorHAnsi" w:cstheme="minorBidi"/>
              <w:kern w:val="2"/>
              <w:sz w:val="22"/>
              <w:szCs w:val="22"/>
              <w:lang w:eastAsia="en-GB"/>
              <w14:ligatures w14:val="standardContextual"/>
            </w:rPr>
          </w:pPr>
          <w:r w:rsidRPr="006B4C50">
            <w:rPr>
              <w:noProof w:val="0"/>
              <w:sz w:val="22"/>
              <w:szCs w:val="22"/>
            </w:rPr>
            <w:fldChar w:fldCharType="begin"/>
          </w:r>
          <w:r w:rsidRPr="006B4C50">
            <w:instrText xml:space="preserve"> TOC \o "1-3" \h \z \u </w:instrText>
          </w:r>
          <w:r w:rsidRPr="006B4C50">
            <w:rPr>
              <w:noProof w:val="0"/>
              <w:sz w:val="22"/>
              <w:szCs w:val="22"/>
            </w:rPr>
            <w:fldChar w:fldCharType="separate"/>
          </w:r>
          <w:hyperlink w:anchor="_Toc181202761" w:history="1">
            <w:r w:rsidR="0057161C" w:rsidRPr="008440B3">
              <w:rPr>
                <w:rStyle w:val="Hyperlink"/>
              </w:rPr>
              <w:t>Domestic Abuse Protection Notices and Orders Overview</w:t>
            </w:r>
            <w:r w:rsidR="0057161C">
              <w:rPr>
                <w:webHidden/>
              </w:rPr>
              <w:tab/>
            </w:r>
            <w:r w:rsidR="0057161C">
              <w:rPr>
                <w:webHidden/>
              </w:rPr>
              <w:fldChar w:fldCharType="begin"/>
            </w:r>
            <w:r w:rsidR="0057161C">
              <w:rPr>
                <w:webHidden/>
              </w:rPr>
              <w:instrText xml:space="preserve"> PAGEREF _Toc181202761 \h </w:instrText>
            </w:r>
            <w:r w:rsidR="0057161C">
              <w:rPr>
                <w:webHidden/>
              </w:rPr>
            </w:r>
            <w:r w:rsidR="0057161C">
              <w:rPr>
                <w:webHidden/>
              </w:rPr>
              <w:fldChar w:fldCharType="separate"/>
            </w:r>
            <w:r w:rsidR="0057161C">
              <w:rPr>
                <w:webHidden/>
              </w:rPr>
              <w:t>2</w:t>
            </w:r>
            <w:r w:rsidR="0057161C">
              <w:rPr>
                <w:webHidden/>
              </w:rPr>
              <w:fldChar w:fldCharType="end"/>
            </w:r>
          </w:hyperlink>
        </w:p>
        <w:p w14:paraId="664FCF61" w14:textId="07AE4259"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2" w:history="1">
            <w:r w:rsidRPr="008440B3">
              <w:rPr>
                <w:rStyle w:val="Hyperlink"/>
                <w:noProof/>
              </w:rPr>
              <w:t>Which courts will deal with DAPOs</w:t>
            </w:r>
            <w:r>
              <w:rPr>
                <w:noProof/>
                <w:webHidden/>
              </w:rPr>
              <w:tab/>
            </w:r>
            <w:r>
              <w:rPr>
                <w:noProof/>
                <w:webHidden/>
              </w:rPr>
              <w:fldChar w:fldCharType="begin"/>
            </w:r>
            <w:r>
              <w:rPr>
                <w:noProof/>
                <w:webHidden/>
              </w:rPr>
              <w:instrText xml:space="preserve"> PAGEREF _Toc181202762 \h </w:instrText>
            </w:r>
            <w:r>
              <w:rPr>
                <w:noProof/>
                <w:webHidden/>
              </w:rPr>
            </w:r>
            <w:r>
              <w:rPr>
                <w:noProof/>
                <w:webHidden/>
              </w:rPr>
              <w:fldChar w:fldCharType="separate"/>
            </w:r>
            <w:r>
              <w:rPr>
                <w:noProof/>
                <w:webHidden/>
              </w:rPr>
              <w:t>2</w:t>
            </w:r>
            <w:r>
              <w:rPr>
                <w:noProof/>
                <w:webHidden/>
              </w:rPr>
              <w:fldChar w:fldCharType="end"/>
            </w:r>
          </w:hyperlink>
        </w:p>
        <w:p w14:paraId="1ED3A1B2" w14:textId="39672DAC"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3" w:history="1">
            <w:r w:rsidRPr="008440B3">
              <w:rPr>
                <w:rStyle w:val="Hyperlink"/>
                <w:noProof/>
              </w:rPr>
              <w:t>Key DAPO features</w:t>
            </w:r>
            <w:r>
              <w:rPr>
                <w:noProof/>
                <w:webHidden/>
              </w:rPr>
              <w:tab/>
            </w:r>
            <w:r>
              <w:rPr>
                <w:noProof/>
                <w:webHidden/>
              </w:rPr>
              <w:fldChar w:fldCharType="begin"/>
            </w:r>
            <w:r>
              <w:rPr>
                <w:noProof/>
                <w:webHidden/>
              </w:rPr>
              <w:instrText xml:space="preserve"> PAGEREF _Toc181202763 \h </w:instrText>
            </w:r>
            <w:r>
              <w:rPr>
                <w:noProof/>
                <w:webHidden/>
              </w:rPr>
            </w:r>
            <w:r>
              <w:rPr>
                <w:noProof/>
                <w:webHidden/>
              </w:rPr>
              <w:fldChar w:fldCharType="separate"/>
            </w:r>
            <w:r>
              <w:rPr>
                <w:noProof/>
                <w:webHidden/>
              </w:rPr>
              <w:t>3</w:t>
            </w:r>
            <w:r>
              <w:rPr>
                <w:noProof/>
                <w:webHidden/>
              </w:rPr>
              <w:fldChar w:fldCharType="end"/>
            </w:r>
          </w:hyperlink>
        </w:p>
        <w:p w14:paraId="37EEDAE5" w14:textId="188EC251"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64" w:history="1">
            <w:r w:rsidRPr="008440B3">
              <w:rPr>
                <w:rStyle w:val="Hyperlink"/>
              </w:rPr>
              <w:t xml:space="preserve">Legal aid </w:t>
            </w:r>
            <w:r>
              <w:rPr>
                <w:webHidden/>
              </w:rPr>
              <w:tab/>
            </w:r>
            <w:r>
              <w:rPr>
                <w:webHidden/>
              </w:rPr>
              <w:fldChar w:fldCharType="begin"/>
            </w:r>
            <w:r>
              <w:rPr>
                <w:webHidden/>
              </w:rPr>
              <w:instrText xml:space="preserve"> PAGEREF _Toc181202764 \h </w:instrText>
            </w:r>
            <w:r>
              <w:rPr>
                <w:webHidden/>
              </w:rPr>
            </w:r>
            <w:r>
              <w:rPr>
                <w:webHidden/>
              </w:rPr>
              <w:fldChar w:fldCharType="separate"/>
            </w:r>
            <w:r>
              <w:rPr>
                <w:webHidden/>
              </w:rPr>
              <w:t>4</w:t>
            </w:r>
            <w:r>
              <w:rPr>
                <w:webHidden/>
              </w:rPr>
              <w:fldChar w:fldCharType="end"/>
            </w:r>
          </w:hyperlink>
        </w:p>
        <w:p w14:paraId="615043A1" w14:textId="74AD2DE9"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65" w:history="1">
            <w:r w:rsidRPr="008440B3">
              <w:rPr>
                <w:rStyle w:val="Hyperlink"/>
              </w:rPr>
              <w:t>Conditions for making a DAPO</w:t>
            </w:r>
            <w:r>
              <w:rPr>
                <w:webHidden/>
              </w:rPr>
              <w:tab/>
            </w:r>
            <w:r>
              <w:rPr>
                <w:webHidden/>
              </w:rPr>
              <w:fldChar w:fldCharType="begin"/>
            </w:r>
            <w:r>
              <w:rPr>
                <w:webHidden/>
              </w:rPr>
              <w:instrText xml:space="preserve"> PAGEREF _Toc181202765 \h </w:instrText>
            </w:r>
            <w:r>
              <w:rPr>
                <w:webHidden/>
              </w:rPr>
            </w:r>
            <w:r>
              <w:rPr>
                <w:webHidden/>
              </w:rPr>
              <w:fldChar w:fldCharType="separate"/>
            </w:r>
            <w:r>
              <w:rPr>
                <w:webHidden/>
              </w:rPr>
              <w:t>5</w:t>
            </w:r>
            <w:r>
              <w:rPr>
                <w:webHidden/>
              </w:rPr>
              <w:fldChar w:fldCharType="end"/>
            </w:r>
          </w:hyperlink>
        </w:p>
        <w:p w14:paraId="5F3F596B" w14:textId="2DE85888"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66" w:history="1">
            <w:r w:rsidRPr="008440B3">
              <w:rPr>
                <w:rStyle w:val="Hyperlink"/>
              </w:rPr>
              <w:t>Prohibitions, restrictions and positive requirements</w:t>
            </w:r>
            <w:r>
              <w:rPr>
                <w:webHidden/>
              </w:rPr>
              <w:tab/>
            </w:r>
            <w:r>
              <w:rPr>
                <w:webHidden/>
              </w:rPr>
              <w:fldChar w:fldCharType="begin"/>
            </w:r>
            <w:r>
              <w:rPr>
                <w:webHidden/>
              </w:rPr>
              <w:instrText xml:space="preserve"> PAGEREF _Toc181202766 \h </w:instrText>
            </w:r>
            <w:r>
              <w:rPr>
                <w:webHidden/>
              </w:rPr>
            </w:r>
            <w:r>
              <w:rPr>
                <w:webHidden/>
              </w:rPr>
              <w:fldChar w:fldCharType="separate"/>
            </w:r>
            <w:r>
              <w:rPr>
                <w:webHidden/>
              </w:rPr>
              <w:t>6</w:t>
            </w:r>
            <w:r>
              <w:rPr>
                <w:webHidden/>
              </w:rPr>
              <w:fldChar w:fldCharType="end"/>
            </w:r>
          </w:hyperlink>
        </w:p>
        <w:p w14:paraId="1C564739" w14:textId="0F95DF0C"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7" w:history="1">
            <w:r w:rsidRPr="008440B3">
              <w:rPr>
                <w:rStyle w:val="Hyperlink"/>
                <w:noProof/>
              </w:rPr>
              <w:t>Key provisions</w:t>
            </w:r>
            <w:r>
              <w:rPr>
                <w:noProof/>
                <w:webHidden/>
              </w:rPr>
              <w:tab/>
            </w:r>
            <w:r>
              <w:rPr>
                <w:noProof/>
                <w:webHidden/>
              </w:rPr>
              <w:fldChar w:fldCharType="begin"/>
            </w:r>
            <w:r>
              <w:rPr>
                <w:noProof/>
                <w:webHidden/>
              </w:rPr>
              <w:instrText xml:space="preserve"> PAGEREF _Toc181202767 \h </w:instrText>
            </w:r>
            <w:r>
              <w:rPr>
                <w:noProof/>
                <w:webHidden/>
              </w:rPr>
            </w:r>
            <w:r>
              <w:rPr>
                <w:noProof/>
                <w:webHidden/>
              </w:rPr>
              <w:fldChar w:fldCharType="separate"/>
            </w:r>
            <w:r>
              <w:rPr>
                <w:noProof/>
                <w:webHidden/>
              </w:rPr>
              <w:t>6</w:t>
            </w:r>
            <w:r>
              <w:rPr>
                <w:noProof/>
                <w:webHidden/>
              </w:rPr>
              <w:fldChar w:fldCharType="end"/>
            </w:r>
          </w:hyperlink>
        </w:p>
        <w:p w14:paraId="34F71805" w14:textId="043C2574"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8" w:history="1">
            <w:r w:rsidRPr="008440B3">
              <w:rPr>
                <w:rStyle w:val="Hyperlink"/>
                <w:noProof/>
              </w:rPr>
              <w:t>Prohibitions</w:t>
            </w:r>
            <w:r>
              <w:rPr>
                <w:noProof/>
                <w:webHidden/>
              </w:rPr>
              <w:tab/>
            </w:r>
            <w:r>
              <w:rPr>
                <w:noProof/>
                <w:webHidden/>
              </w:rPr>
              <w:fldChar w:fldCharType="begin"/>
            </w:r>
            <w:r>
              <w:rPr>
                <w:noProof/>
                <w:webHidden/>
              </w:rPr>
              <w:instrText xml:space="preserve"> PAGEREF _Toc181202768 \h </w:instrText>
            </w:r>
            <w:r>
              <w:rPr>
                <w:noProof/>
                <w:webHidden/>
              </w:rPr>
            </w:r>
            <w:r>
              <w:rPr>
                <w:noProof/>
                <w:webHidden/>
              </w:rPr>
              <w:fldChar w:fldCharType="separate"/>
            </w:r>
            <w:r>
              <w:rPr>
                <w:noProof/>
                <w:webHidden/>
              </w:rPr>
              <w:t>7</w:t>
            </w:r>
            <w:r>
              <w:rPr>
                <w:noProof/>
                <w:webHidden/>
              </w:rPr>
              <w:fldChar w:fldCharType="end"/>
            </w:r>
          </w:hyperlink>
        </w:p>
        <w:p w14:paraId="06614825" w14:textId="3812629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9" w:history="1">
            <w:r w:rsidRPr="008440B3">
              <w:rPr>
                <w:rStyle w:val="Hyperlink"/>
                <w:noProof/>
              </w:rPr>
              <w:t>Positive requirements and the responsible person</w:t>
            </w:r>
            <w:r>
              <w:rPr>
                <w:noProof/>
                <w:webHidden/>
              </w:rPr>
              <w:tab/>
            </w:r>
            <w:r>
              <w:rPr>
                <w:noProof/>
                <w:webHidden/>
              </w:rPr>
              <w:fldChar w:fldCharType="begin"/>
            </w:r>
            <w:r>
              <w:rPr>
                <w:noProof/>
                <w:webHidden/>
              </w:rPr>
              <w:instrText xml:space="preserve"> PAGEREF _Toc181202769 \h </w:instrText>
            </w:r>
            <w:r>
              <w:rPr>
                <w:noProof/>
                <w:webHidden/>
              </w:rPr>
            </w:r>
            <w:r>
              <w:rPr>
                <w:noProof/>
                <w:webHidden/>
              </w:rPr>
              <w:fldChar w:fldCharType="separate"/>
            </w:r>
            <w:r>
              <w:rPr>
                <w:noProof/>
                <w:webHidden/>
              </w:rPr>
              <w:t>9</w:t>
            </w:r>
            <w:r>
              <w:rPr>
                <w:noProof/>
                <w:webHidden/>
              </w:rPr>
              <w:fldChar w:fldCharType="end"/>
            </w:r>
          </w:hyperlink>
        </w:p>
        <w:p w14:paraId="5D195C20" w14:textId="2BA40625"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0" w:history="1">
            <w:r w:rsidRPr="008440B3">
              <w:rPr>
                <w:rStyle w:val="Hyperlink"/>
                <w:noProof/>
              </w:rPr>
              <w:t>Electronic monitoring requirements</w:t>
            </w:r>
            <w:r>
              <w:rPr>
                <w:noProof/>
                <w:webHidden/>
              </w:rPr>
              <w:tab/>
            </w:r>
            <w:r>
              <w:rPr>
                <w:noProof/>
                <w:webHidden/>
              </w:rPr>
              <w:fldChar w:fldCharType="begin"/>
            </w:r>
            <w:r>
              <w:rPr>
                <w:noProof/>
                <w:webHidden/>
              </w:rPr>
              <w:instrText xml:space="preserve"> PAGEREF _Toc181202770 \h </w:instrText>
            </w:r>
            <w:r>
              <w:rPr>
                <w:noProof/>
                <w:webHidden/>
              </w:rPr>
            </w:r>
            <w:r>
              <w:rPr>
                <w:noProof/>
                <w:webHidden/>
              </w:rPr>
              <w:fldChar w:fldCharType="separate"/>
            </w:r>
            <w:r>
              <w:rPr>
                <w:noProof/>
                <w:webHidden/>
              </w:rPr>
              <w:t>9</w:t>
            </w:r>
            <w:r>
              <w:rPr>
                <w:noProof/>
                <w:webHidden/>
              </w:rPr>
              <w:fldChar w:fldCharType="end"/>
            </w:r>
          </w:hyperlink>
        </w:p>
        <w:p w14:paraId="30F029AB" w14:textId="2F99104E"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1" w:history="1">
            <w:r w:rsidRPr="008440B3">
              <w:rPr>
                <w:rStyle w:val="Hyperlink"/>
              </w:rPr>
              <w:t>Notification requirements</w:t>
            </w:r>
            <w:r>
              <w:rPr>
                <w:webHidden/>
              </w:rPr>
              <w:tab/>
            </w:r>
            <w:r>
              <w:rPr>
                <w:webHidden/>
              </w:rPr>
              <w:fldChar w:fldCharType="begin"/>
            </w:r>
            <w:r>
              <w:rPr>
                <w:webHidden/>
              </w:rPr>
              <w:instrText xml:space="preserve"> PAGEREF _Toc181202771 \h </w:instrText>
            </w:r>
            <w:r>
              <w:rPr>
                <w:webHidden/>
              </w:rPr>
            </w:r>
            <w:r>
              <w:rPr>
                <w:webHidden/>
              </w:rPr>
              <w:fldChar w:fldCharType="separate"/>
            </w:r>
            <w:r>
              <w:rPr>
                <w:webHidden/>
              </w:rPr>
              <w:t>12</w:t>
            </w:r>
            <w:r>
              <w:rPr>
                <w:webHidden/>
              </w:rPr>
              <w:fldChar w:fldCharType="end"/>
            </w:r>
          </w:hyperlink>
        </w:p>
        <w:p w14:paraId="087B4A22" w14:textId="2A2C0795"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2" w:history="1">
            <w:r w:rsidRPr="008440B3">
              <w:rPr>
                <w:rStyle w:val="Hyperlink"/>
                <w:noProof/>
              </w:rPr>
              <w:t>Scope of notification requirements</w:t>
            </w:r>
            <w:r>
              <w:rPr>
                <w:noProof/>
                <w:webHidden/>
              </w:rPr>
              <w:tab/>
            </w:r>
            <w:r>
              <w:rPr>
                <w:noProof/>
                <w:webHidden/>
              </w:rPr>
              <w:fldChar w:fldCharType="begin"/>
            </w:r>
            <w:r>
              <w:rPr>
                <w:noProof/>
                <w:webHidden/>
              </w:rPr>
              <w:instrText xml:space="preserve"> PAGEREF _Toc181202772 \h </w:instrText>
            </w:r>
            <w:r>
              <w:rPr>
                <w:noProof/>
                <w:webHidden/>
              </w:rPr>
            </w:r>
            <w:r>
              <w:rPr>
                <w:noProof/>
                <w:webHidden/>
              </w:rPr>
              <w:fldChar w:fldCharType="separate"/>
            </w:r>
            <w:r>
              <w:rPr>
                <w:noProof/>
                <w:webHidden/>
              </w:rPr>
              <w:t>12</w:t>
            </w:r>
            <w:r>
              <w:rPr>
                <w:noProof/>
                <w:webHidden/>
              </w:rPr>
              <w:fldChar w:fldCharType="end"/>
            </w:r>
          </w:hyperlink>
        </w:p>
        <w:p w14:paraId="7CD7B8FD" w14:textId="531B087B"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3" w:history="1">
            <w:r w:rsidRPr="008440B3">
              <w:rPr>
                <w:rStyle w:val="Hyperlink"/>
                <w:noProof/>
              </w:rPr>
              <w:t>Offences relating to notification</w:t>
            </w:r>
            <w:r>
              <w:rPr>
                <w:noProof/>
                <w:webHidden/>
              </w:rPr>
              <w:tab/>
            </w:r>
            <w:r>
              <w:rPr>
                <w:noProof/>
                <w:webHidden/>
              </w:rPr>
              <w:fldChar w:fldCharType="begin"/>
            </w:r>
            <w:r>
              <w:rPr>
                <w:noProof/>
                <w:webHidden/>
              </w:rPr>
              <w:instrText xml:space="preserve"> PAGEREF _Toc181202773 \h </w:instrText>
            </w:r>
            <w:r>
              <w:rPr>
                <w:noProof/>
                <w:webHidden/>
              </w:rPr>
            </w:r>
            <w:r>
              <w:rPr>
                <w:noProof/>
                <w:webHidden/>
              </w:rPr>
              <w:fldChar w:fldCharType="separate"/>
            </w:r>
            <w:r>
              <w:rPr>
                <w:noProof/>
                <w:webHidden/>
              </w:rPr>
              <w:t>13</w:t>
            </w:r>
            <w:r>
              <w:rPr>
                <w:noProof/>
                <w:webHidden/>
              </w:rPr>
              <w:fldChar w:fldCharType="end"/>
            </w:r>
          </w:hyperlink>
        </w:p>
        <w:p w14:paraId="7AE0BC6A" w14:textId="312C5350"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4" w:history="1">
            <w:r w:rsidRPr="008440B3">
              <w:rPr>
                <w:rStyle w:val="Hyperlink"/>
              </w:rPr>
              <w:t>Variation or discharge of a DAPO</w:t>
            </w:r>
            <w:r>
              <w:rPr>
                <w:webHidden/>
              </w:rPr>
              <w:tab/>
            </w:r>
            <w:r>
              <w:rPr>
                <w:webHidden/>
              </w:rPr>
              <w:fldChar w:fldCharType="begin"/>
            </w:r>
            <w:r>
              <w:rPr>
                <w:webHidden/>
              </w:rPr>
              <w:instrText xml:space="preserve"> PAGEREF _Toc181202774 \h </w:instrText>
            </w:r>
            <w:r>
              <w:rPr>
                <w:webHidden/>
              </w:rPr>
            </w:r>
            <w:r>
              <w:rPr>
                <w:webHidden/>
              </w:rPr>
              <w:fldChar w:fldCharType="separate"/>
            </w:r>
            <w:r>
              <w:rPr>
                <w:webHidden/>
              </w:rPr>
              <w:t>15</w:t>
            </w:r>
            <w:r>
              <w:rPr>
                <w:webHidden/>
              </w:rPr>
              <w:fldChar w:fldCharType="end"/>
            </w:r>
          </w:hyperlink>
        </w:p>
        <w:p w14:paraId="1AA92E1D" w14:textId="1EF7B49A"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5" w:history="1">
            <w:r w:rsidRPr="008440B3">
              <w:rPr>
                <w:rStyle w:val="Hyperlink"/>
              </w:rPr>
              <w:t>Breach of a DAPO</w:t>
            </w:r>
            <w:r>
              <w:rPr>
                <w:webHidden/>
              </w:rPr>
              <w:tab/>
            </w:r>
            <w:r>
              <w:rPr>
                <w:webHidden/>
              </w:rPr>
              <w:fldChar w:fldCharType="begin"/>
            </w:r>
            <w:r>
              <w:rPr>
                <w:webHidden/>
              </w:rPr>
              <w:instrText xml:space="preserve"> PAGEREF _Toc181202775 \h </w:instrText>
            </w:r>
            <w:r>
              <w:rPr>
                <w:webHidden/>
              </w:rPr>
            </w:r>
            <w:r>
              <w:rPr>
                <w:webHidden/>
              </w:rPr>
              <w:fldChar w:fldCharType="separate"/>
            </w:r>
            <w:r>
              <w:rPr>
                <w:webHidden/>
              </w:rPr>
              <w:t>17</w:t>
            </w:r>
            <w:r>
              <w:rPr>
                <w:webHidden/>
              </w:rPr>
              <w:fldChar w:fldCharType="end"/>
            </w:r>
          </w:hyperlink>
        </w:p>
        <w:p w14:paraId="675ACEE6" w14:textId="63CF1F6E"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6" w:history="1">
            <w:r w:rsidRPr="008440B3">
              <w:rPr>
                <w:rStyle w:val="Hyperlink"/>
                <w:noProof/>
              </w:rPr>
              <w:t>Dealing with breach as a civil contempt of court</w:t>
            </w:r>
            <w:r>
              <w:rPr>
                <w:noProof/>
                <w:webHidden/>
              </w:rPr>
              <w:tab/>
            </w:r>
            <w:r>
              <w:rPr>
                <w:noProof/>
                <w:webHidden/>
              </w:rPr>
              <w:fldChar w:fldCharType="begin"/>
            </w:r>
            <w:r>
              <w:rPr>
                <w:noProof/>
                <w:webHidden/>
              </w:rPr>
              <w:instrText xml:space="preserve"> PAGEREF _Toc181202776 \h </w:instrText>
            </w:r>
            <w:r>
              <w:rPr>
                <w:noProof/>
                <w:webHidden/>
              </w:rPr>
            </w:r>
            <w:r>
              <w:rPr>
                <w:noProof/>
                <w:webHidden/>
              </w:rPr>
              <w:fldChar w:fldCharType="separate"/>
            </w:r>
            <w:r>
              <w:rPr>
                <w:noProof/>
                <w:webHidden/>
              </w:rPr>
              <w:t>18</w:t>
            </w:r>
            <w:r>
              <w:rPr>
                <w:noProof/>
                <w:webHidden/>
              </w:rPr>
              <w:fldChar w:fldCharType="end"/>
            </w:r>
          </w:hyperlink>
        </w:p>
        <w:p w14:paraId="21C02885" w14:textId="0136EB8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7" w:history="1">
            <w:r w:rsidRPr="008440B3">
              <w:rPr>
                <w:rStyle w:val="Hyperlink"/>
                <w:noProof/>
              </w:rPr>
              <w:t>Breach occurring outside of England and Wales</w:t>
            </w:r>
            <w:r>
              <w:rPr>
                <w:noProof/>
                <w:webHidden/>
              </w:rPr>
              <w:tab/>
            </w:r>
            <w:r>
              <w:rPr>
                <w:noProof/>
                <w:webHidden/>
              </w:rPr>
              <w:fldChar w:fldCharType="begin"/>
            </w:r>
            <w:r>
              <w:rPr>
                <w:noProof/>
                <w:webHidden/>
              </w:rPr>
              <w:instrText xml:space="preserve"> PAGEREF _Toc181202777 \h </w:instrText>
            </w:r>
            <w:r>
              <w:rPr>
                <w:noProof/>
                <w:webHidden/>
              </w:rPr>
            </w:r>
            <w:r>
              <w:rPr>
                <w:noProof/>
                <w:webHidden/>
              </w:rPr>
              <w:fldChar w:fldCharType="separate"/>
            </w:r>
            <w:r>
              <w:rPr>
                <w:noProof/>
                <w:webHidden/>
              </w:rPr>
              <w:t>19</w:t>
            </w:r>
            <w:r>
              <w:rPr>
                <w:noProof/>
                <w:webHidden/>
              </w:rPr>
              <w:fldChar w:fldCharType="end"/>
            </w:r>
          </w:hyperlink>
        </w:p>
        <w:p w14:paraId="63DF3D6C" w14:textId="747E2162"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8" w:history="1">
            <w:r w:rsidRPr="008440B3">
              <w:rPr>
                <w:rStyle w:val="Hyperlink"/>
              </w:rPr>
              <w:t>How DAPOs fit into existing order landscape</w:t>
            </w:r>
            <w:r>
              <w:rPr>
                <w:webHidden/>
              </w:rPr>
              <w:tab/>
            </w:r>
            <w:r>
              <w:rPr>
                <w:webHidden/>
              </w:rPr>
              <w:fldChar w:fldCharType="begin"/>
            </w:r>
            <w:r>
              <w:rPr>
                <w:webHidden/>
              </w:rPr>
              <w:instrText xml:space="preserve"> PAGEREF _Toc181202778 \h </w:instrText>
            </w:r>
            <w:r>
              <w:rPr>
                <w:webHidden/>
              </w:rPr>
            </w:r>
            <w:r>
              <w:rPr>
                <w:webHidden/>
              </w:rPr>
              <w:fldChar w:fldCharType="separate"/>
            </w:r>
            <w:r>
              <w:rPr>
                <w:webHidden/>
              </w:rPr>
              <w:t>21</w:t>
            </w:r>
            <w:r>
              <w:rPr>
                <w:webHidden/>
              </w:rPr>
              <w:fldChar w:fldCharType="end"/>
            </w:r>
          </w:hyperlink>
        </w:p>
        <w:p w14:paraId="0644408A" w14:textId="13DAFA39"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9" w:history="1">
            <w:r w:rsidRPr="008440B3">
              <w:rPr>
                <w:rStyle w:val="Hyperlink"/>
                <w:noProof/>
              </w:rPr>
              <w:t>Summary table of NMO/OO Vs DAPO comparison</w:t>
            </w:r>
            <w:r>
              <w:rPr>
                <w:noProof/>
                <w:webHidden/>
              </w:rPr>
              <w:tab/>
            </w:r>
            <w:r>
              <w:rPr>
                <w:noProof/>
                <w:webHidden/>
              </w:rPr>
              <w:fldChar w:fldCharType="begin"/>
            </w:r>
            <w:r>
              <w:rPr>
                <w:noProof/>
                <w:webHidden/>
              </w:rPr>
              <w:instrText xml:space="preserve"> PAGEREF _Toc181202779 \h </w:instrText>
            </w:r>
            <w:r>
              <w:rPr>
                <w:noProof/>
                <w:webHidden/>
              </w:rPr>
            </w:r>
            <w:r>
              <w:rPr>
                <w:noProof/>
                <w:webHidden/>
              </w:rPr>
              <w:fldChar w:fldCharType="separate"/>
            </w:r>
            <w:r>
              <w:rPr>
                <w:noProof/>
                <w:webHidden/>
              </w:rPr>
              <w:t>24</w:t>
            </w:r>
            <w:r>
              <w:rPr>
                <w:noProof/>
                <w:webHidden/>
              </w:rPr>
              <w:fldChar w:fldCharType="end"/>
            </w:r>
          </w:hyperlink>
        </w:p>
        <w:p w14:paraId="036C9B9E" w14:textId="08D6E912"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80" w:history="1">
            <w:r w:rsidRPr="008440B3">
              <w:rPr>
                <w:rStyle w:val="Hyperlink"/>
              </w:rPr>
              <w:t>Court Rules and other secondary legislation</w:t>
            </w:r>
            <w:r>
              <w:rPr>
                <w:webHidden/>
              </w:rPr>
              <w:tab/>
            </w:r>
            <w:r>
              <w:rPr>
                <w:webHidden/>
              </w:rPr>
              <w:fldChar w:fldCharType="begin"/>
            </w:r>
            <w:r>
              <w:rPr>
                <w:webHidden/>
              </w:rPr>
              <w:instrText xml:space="preserve"> PAGEREF _Toc181202780 \h </w:instrText>
            </w:r>
            <w:r>
              <w:rPr>
                <w:webHidden/>
              </w:rPr>
            </w:r>
            <w:r>
              <w:rPr>
                <w:webHidden/>
              </w:rPr>
              <w:fldChar w:fldCharType="separate"/>
            </w:r>
            <w:r>
              <w:rPr>
                <w:webHidden/>
              </w:rPr>
              <w:t>25</w:t>
            </w:r>
            <w:r>
              <w:rPr>
                <w:webHidden/>
              </w:rPr>
              <w:fldChar w:fldCharType="end"/>
            </w:r>
          </w:hyperlink>
        </w:p>
        <w:p w14:paraId="789AB9B0" w14:textId="7DFD3F61"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81" w:history="1">
            <w:r w:rsidRPr="008440B3">
              <w:rPr>
                <w:rStyle w:val="Hyperlink"/>
              </w:rPr>
              <w:t>The pilot</w:t>
            </w:r>
            <w:r>
              <w:rPr>
                <w:webHidden/>
              </w:rPr>
              <w:tab/>
            </w:r>
            <w:r>
              <w:rPr>
                <w:webHidden/>
              </w:rPr>
              <w:fldChar w:fldCharType="begin"/>
            </w:r>
            <w:r>
              <w:rPr>
                <w:webHidden/>
              </w:rPr>
              <w:instrText xml:space="preserve"> PAGEREF _Toc181202781 \h </w:instrText>
            </w:r>
            <w:r>
              <w:rPr>
                <w:webHidden/>
              </w:rPr>
            </w:r>
            <w:r>
              <w:rPr>
                <w:webHidden/>
              </w:rPr>
              <w:fldChar w:fldCharType="separate"/>
            </w:r>
            <w:r>
              <w:rPr>
                <w:webHidden/>
              </w:rPr>
              <w:t>26</w:t>
            </w:r>
            <w:r>
              <w:rPr>
                <w:webHidden/>
              </w:rPr>
              <w:fldChar w:fldCharType="end"/>
            </w:r>
          </w:hyperlink>
        </w:p>
        <w:p w14:paraId="62D2851A" w14:textId="3FD0CB4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2" w:history="1">
            <w:r w:rsidRPr="008440B3">
              <w:rPr>
                <w:rStyle w:val="Hyperlink"/>
                <w:noProof/>
              </w:rPr>
              <w:t>Court fees</w:t>
            </w:r>
            <w:r>
              <w:rPr>
                <w:noProof/>
                <w:webHidden/>
              </w:rPr>
              <w:tab/>
            </w:r>
            <w:r>
              <w:rPr>
                <w:noProof/>
                <w:webHidden/>
              </w:rPr>
              <w:fldChar w:fldCharType="begin"/>
            </w:r>
            <w:r>
              <w:rPr>
                <w:noProof/>
                <w:webHidden/>
              </w:rPr>
              <w:instrText xml:space="preserve"> PAGEREF _Toc181202782 \h </w:instrText>
            </w:r>
            <w:r>
              <w:rPr>
                <w:noProof/>
                <w:webHidden/>
              </w:rPr>
            </w:r>
            <w:r>
              <w:rPr>
                <w:noProof/>
                <w:webHidden/>
              </w:rPr>
              <w:fldChar w:fldCharType="separate"/>
            </w:r>
            <w:r>
              <w:rPr>
                <w:noProof/>
                <w:webHidden/>
              </w:rPr>
              <w:t>26</w:t>
            </w:r>
            <w:r>
              <w:rPr>
                <w:noProof/>
                <w:webHidden/>
              </w:rPr>
              <w:fldChar w:fldCharType="end"/>
            </w:r>
          </w:hyperlink>
        </w:p>
        <w:p w14:paraId="41493380" w14:textId="5503E69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3" w:history="1">
            <w:r w:rsidRPr="008440B3">
              <w:rPr>
                <w:rStyle w:val="Hyperlink"/>
                <w:noProof/>
              </w:rPr>
              <w:t>Pilot boundaries</w:t>
            </w:r>
            <w:r>
              <w:rPr>
                <w:noProof/>
                <w:webHidden/>
              </w:rPr>
              <w:tab/>
            </w:r>
            <w:r>
              <w:rPr>
                <w:noProof/>
                <w:webHidden/>
              </w:rPr>
              <w:fldChar w:fldCharType="begin"/>
            </w:r>
            <w:r>
              <w:rPr>
                <w:noProof/>
                <w:webHidden/>
              </w:rPr>
              <w:instrText xml:space="preserve"> PAGEREF _Toc181202783 \h </w:instrText>
            </w:r>
            <w:r>
              <w:rPr>
                <w:noProof/>
                <w:webHidden/>
              </w:rPr>
            </w:r>
            <w:r>
              <w:rPr>
                <w:noProof/>
                <w:webHidden/>
              </w:rPr>
              <w:fldChar w:fldCharType="separate"/>
            </w:r>
            <w:r>
              <w:rPr>
                <w:noProof/>
                <w:webHidden/>
              </w:rPr>
              <w:t>26</w:t>
            </w:r>
            <w:r>
              <w:rPr>
                <w:noProof/>
                <w:webHidden/>
              </w:rPr>
              <w:fldChar w:fldCharType="end"/>
            </w:r>
          </w:hyperlink>
        </w:p>
        <w:p w14:paraId="30499569" w14:textId="5314FBE4"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4" w:history="1">
            <w:r w:rsidRPr="008440B3">
              <w:rPr>
                <w:rStyle w:val="Hyperlink"/>
                <w:noProof/>
              </w:rPr>
              <w:t>Information sharing between the courts and the police</w:t>
            </w:r>
            <w:r>
              <w:rPr>
                <w:noProof/>
                <w:webHidden/>
              </w:rPr>
              <w:tab/>
            </w:r>
            <w:r>
              <w:rPr>
                <w:noProof/>
                <w:webHidden/>
              </w:rPr>
              <w:fldChar w:fldCharType="begin"/>
            </w:r>
            <w:r>
              <w:rPr>
                <w:noProof/>
                <w:webHidden/>
              </w:rPr>
              <w:instrText xml:space="preserve"> PAGEREF _Toc181202784 \h </w:instrText>
            </w:r>
            <w:r>
              <w:rPr>
                <w:noProof/>
                <w:webHidden/>
              </w:rPr>
            </w:r>
            <w:r>
              <w:rPr>
                <w:noProof/>
                <w:webHidden/>
              </w:rPr>
              <w:fldChar w:fldCharType="separate"/>
            </w:r>
            <w:r>
              <w:rPr>
                <w:noProof/>
                <w:webHidden/>
              </w:rPr>
              <w:t>27</w:t>
            </w:r>
            <w:r>
              <w:rPr>
                <w:noProof/>
                <w:webHidden/>
              </w:rPr>
              <w:fldChar w:fldCharType="end"/>
            </w:r>
          </w:hyperlink>
        </w:p>
        <w:p w14:paraId="22915421" w14:textId="11F5A3CE" w:rsidR="0015194D" w:rsidRDefault="006B4C50" w:rsidP="0015194D">
          <w:pPr>
            <w:pStyle w:val="Heading2"/>
            <w:rPr>
              <w:noProof/>
            </w:rPr>
          </w:pPr>
          <w:r w:rsidRPr="006B4C50">
            <w:rPr>
              <w:rFonts w:ascii="Arial" w:hAnsi="Arial" w:cs="Arial"/>
              <w:noProof/>
            </w:rPr>
            <w:fldChar w:fldCharType="end"/>
          </w:r>
        </w:p>
      </w:sdtContent>
    </w:sdt>
    <w:p w14:paraId="73ED5EDF" w14:textId="77777777" w:rsidR="00677892" w:rsidRDefault="00677892" w:rsidP="00677892"/>
    <w:p w14:paraId="43F09455" w14:textId="77777777" w:rsidR="00677892" w:rsidRDefault="00677892" w:rsidP="00677892"/>
    <w:p w14:paraId="7AE6D1E4" w14:textId="77777777" w:rsidR="00677892" w:rsidRDefault="00677892" w:rsidP="00677892"/>
    <w:p w14:paraId="53209549" w14:textId="77777777" w:rsidR="00A65EAE" w:rsidRDefault="00A65EAE" w:rsidP="00677892"/>
    <w:p w14:paraId="7AD0F947" w14:textId="77777777" w:rsidR="00A65EAE" w:rsidRDefault="00A65EAE" w:rsidP="00677892"/>
    <w:p w14:paraId="72E954B0" w14:textId="77777777" w:rsidR="00A65EAE" w:rsidRDefault="00A65EAE" w:rsidP="00677892"/>
    <w:p w14:paraId="2C48933A" w14:textId="77777777" w:rsidR="00677892" w:rsidRDefault="00677892" w:rsidP="00677892"/>
    <w:p w14:paraId="4811110B" w14:textId="308B110D" w:rsidR="006B4C50" w:rsidRPr="007F561D" w:rsidRDefault="006B4C50" w:rsidP="00B405E9">
      <w:pPr>
        <w:pStyle w:val="Heading1briefing"/>
      </w:pPr>
      <w:bookmarkStart w:id="0" w:name="_Toc181202761"/>
      <w:bookmarkStart w:id="1" w:name="First"/>
      <w:r w:rsidRPr="007F561D">
        <w:lastRenderedPageBreak/>
        <w:t>Domestic Abuse Protection Notices and Orders</w:t>
      </w:r>
      <w:r w:rsidR="00303BC6" w:rsidRPr="007F561D">
        <w:t xml:space="preserve"> Overview</w:t>
      </w:r>
      <w:bookmarkEnd w:id="0"/>
    </w:p>
    <w:bookmarkEnd w:id="1"/>
    <w:p w14:paraId="7CEB36EC" w14:textId="122AF69F" w:rsidR="006B4C50" w:rsidRPr="00137668" w:rsidRDefault="006B4C50" w:rsidP="00C55E97">
      <w:pPr>
        <w:pStyle w:val="FooterConfidentiality"/>
        <w:widowControl w:val="0"/>
        <w:spacing w:before="120" w:after="120"/>
        <w:ind w:left="0"/>
        <w:jc w:val="both"/>
        <w:rPr>
          <w:rFonts w:cs="Arial"/>
          <w:b w:val="0"/>
          <w:bCs/>
        </w:rPr>
      </w:pPr>
      <w:r w:rsidRPr="00137668">
        <w:rPr>
          <w:rFonts w:cs="Arial"/>
          <w:b w:val="0"/>
          <w:bCs/>
        </w:rPr>
        <w:t xml:space="preserve">The Domestic Abuse Protection Order (DAPO) is a joint policy </w:t>
      </w:r>
      <w:r w:rsidR="006D032A">
        <w:rPr>
          <w:rFonts w:cs="Arial"/>
          <w:b w:val="0"/>
          <w:bCs/>
        </w:rPr>
        <w:t>shared</w:t>
      </w:r>
      <w:r w:rsidRPr="00137668">
        <w:rPr>
          <w:rFonts w:cs="Arial"/>
          <w:b w:val="0"/>
          <w:bCs/>
        </w:rPr>
        <w:t xml:space="preserve"> between the Home Office and Ministry of Justice. The aim of the DAPO is to bring together the strongest elements of the existing protective order regime into a single comprehensive, flexible order to afford longer-term protection for victims of all domestic abuse. </w:t>
      </w:r>
      <w:r w:rsidR="002D432F" w:rsidRPr="002D432F">
        <w:rPr>
          <w:rFonts w:cs="Arial"/>
        </w:rPr>
        <w:t>Our intention is for the DAPO to become the go-to protective order for domestic abuse.</w:t>
      </w:r>
    </w:p>
    <w:p w14:paraId="23B7A81B" w14:textId="0CE68318" w:rsidR="00B352F9" w:rsidRDefault="006B4C50" w:rsidP="00C55E97">
      <w:pPr>
        <w:spacing w:after="0" w:line="240" w:lineRule="auto"/>
        <w:jc w:val="both"/>
      </w:pPr>
      <w:r w:rsidRPr="00C55E97">
        <w:rPr>
          <w:bCs/>
        </w:rPr>
        <w:t xml:space="preserve">The </w:t>
      </w:r>
      <w:r w:rsidR="00273E60" w:rsidRPr="00C55E97">
        <w:rPr>
          <w:bCs/>
        </w:rPr>
        <w:t>new civil</w:t>
      </w:r>
      <w:r w:rsidRPr="00C55E97">
        <w:rPr>
          <w:bCs/>
        </w:rPr>
        <w:t xml:space="preserve"> Domestic Abuse Protection Notice (DAPN) and Domestic Abuse Protection Order (DAPO) were </w:t>
      </w:r>
      <w:r w:rsidR="00395EF6" w:rsidRPr="00C55E97">
        <w:rPr>
          <w:bCs/>
        </w:rPr>
        <w:t xml:space="preserve">legislated for </w:t>
      </w:r>
      <w:r w:rsidRPr="00C55E97">
        <w:rPr>
          <w:bCs/>
        </w:rPr>
        <w:t xml:space="preserve">in the Domestic Abuse Act 2021 (the </w:t>
      </w:r>
      <w:r w:rsidR="00FF03C6" w:rsidRPr="00C55E97">
        <w:rPr>
          <w:bCs/>
        </w:rPr>
        <w:t xml:space="preserve">DA </w:t>
      </w:r>
      <w:r w:rsidRPr="00C55E97">
        <w:rPr>
          <w:bCs/>
        </w:rPr>
        <w:t>Act)</w:t>
      </w:r>
      <w:r w:rsidRPr="002D432F">
        <w:rPr>
          <w:rStyle w:val="FootnoteReference"/>
          <w:bCs/>
        </w:rPr>
        <w:footnoteReference w:id="2"/>
      </w:r>
      <w:r w:rsidR="002D432F" w:rsidRPr="00C55E97">
        <w:rPr>
          <w:bCs/>
        </w:rPr>
        <w:t xml:space="preserve">. </w:t>
      </w:r>
      <w:r w:rsidR="00B352F9" w:rsidRPr="002D432F">
        <w:t>The DAPO will be the first order available in all court</w:t>
      </w:r>
      <w:r w:rsidR="00B352F9">
        <w:t xml:space="preserve"> jurisdiction</w:t>
      </w:r>
      <w:r w:rsidR="00B352F9" w:rsidRPr="002D432F">
        <w:t>s</w:t>
      </w:r>
      <w:r w:rsidR="00B352F9">
        <w:t xml:space="preserve"> (criminal, family and civil)</w:t>
      </w:r>
      <w:r w:rsidR="00B352F9" w:rsidRPr="002D432F">
        <w:t xml:space="preserve"> providing victims with </w:t>
      </w:r>
      <w:r w:rsidR="00CE25A5">
        <w:t xml:space="preserve">different </w:t>
      </w:r>
      <w:r w:rsidR="000A7F90">
        <w:t xml:space="preserve">court </w:t>
      </w:r>
      <w:r w:rsidR="00CE25A5">
        <w:t>routes to the order and an option to identity the most appropriate route</w:t>
      </w:r>
      <w:r w:rsidR="00B352F9" w:rsidRPr="002D432F">
        <w:t xml:space="preserve">. The decision to make DAPOs available in all courts stemmed from feedback </w:t>
      </w:r>
      <w:r w:rsidR="00B352F9">
        <w:t xml:space="preserve">received </w:t>
      </w:r>
      <w:r w:rsidR="00B352F9" w:rsidRPr="002D432F">
        <w:t>during</w:t>
      </w:r>
      <w:r w:rsidR="00CE25A5">
        <w:t xml:space="preserve"> the public consultation on the draft Domestic Abuse Bill and subsequent</w:t>
      </w:r>
      <w:r w:rsidR="00B352F9" w:rsidRPr="002D432F">
        <w:t xml:space="preserve"> passage of the</w:t>
      </w:r>
      <w:r w:rsidR="00B352F9">
        <w:t xml:space="preserve"> </w:t>
      </w:r>
      <w:r w:rsidR="00B352F9" w:rsidRPr="002D432F">
        <w:t>D</w:t>
      </w:r>
      <w:r w:rsidR="00B352F9">
        <w:t>A Act</w:t>
      </w:r>
      <w:r w:rsidR="00822D63">
        <w:t>, which</w:t>
      </w:r>
      <w:r w:rsidR="00B352F9" w:rsidRPr="002D432F">
        <w:t xml:space="preserve"> </w:t>
      </w:r>
      <w:r w:rsidR="00B352F9">
        <w:t xml:space="preserve">emphasised the importance of </w:t>
      </w:r>
      <w:r w:rsidR="00B352F9" w:rsidRPr="002D432F">
        <w:t xml:space="preserve">victims </w:t>
      </w:r>
      <w:r w:rsidR="00B352F9">
        <w:t>having</w:t>
      </w:r>
      <w:r w:rsidR="00B352F9" w:rsidRPr="002D432F">
        <w:t xml:space="preserve"> </w:t>
      </w:r>
      <w:r w:rsidR="0048511D">
        <w:t>more flexibility</w:t>
      </w:r>
      <w:r w:rsidR="00C96323">
        <w:t xml:space="preserve"> </w:t>
      </w:r>
      <w:r w:rsidR="00912956">
        <w:t>in accessing a protective order</w:t>
      </w:r>
      <w:r w:rsidR="00B352F9" w:rsidRPr="002D432F">
        <w:t xml:space="preserve"> and </w:t>
      </w:r>
      <w:r w:rsidR="00B352F9">
        <w:t xml:space="preserve">allowing </w:t>
      </w:r>
      <w:r w:rsidR="00B352F9" w:rsidRPr="002D432F">
        <w:t>third parties the option to apply on behalf of victims.</w:t>
      </w:r>
    </w:p>
    <w:p w14:paraId="76C569D1" w14:textId="77777777" w:rsidR="0036622F" w:rsidRDefault="0036622F" w:rsidP="000542D2">
      <w:pPr>
        <w:spacing w:after="0" w:line="240" w:lineRule="auto"/>
        <w:jc w:val="both"/>
      </w:pPr>
    </w:p>
    <w:p w14:paraId="65BC34A5" w14:textId="5F272B6B" w:rsidR="0036622F" w:rsidRPr="00931973" w:rsidRDefault="0050214C" w:rsidP="008C6E68">
      <w:pPr>
        <w:pStyle w:val="Heading2"/>
        <w:rPr>
          <w:rFonts w:ascii="Arial" w:hAnsi="Arial" w:cs="Arial"/>
          <w:color w:val="7030A0"/>
          <w:sz w:val="28"/>
          <w:szCs w:val="28"/>
        </w:rPr>
      </w:pPr>
      <w:bookmarkStart w:id="2" w:name="_Toc181202762"/>
      <w:r w:rsidRPr="00931973">
        <w:rPr>
          <w:rFonts w:ascii="Arial" w:hAnsi="Arial" w:cs="Arial"/>
          <w:color w:val="7030A0"/>
          <w:sz w:val="28"/>
          <w:szCs w:val="28"/>
        </w:rPr>
        <w:t>Which courts will deal with DAPOs</w:t>
      </w:r>
      <w:bookmarkEnd w:id="2"/>
    </w:p>
    <w:p w14:paraId="6B3459FA" w14:textId="60D7C94A" w:rsidR="00B352F9" w:rsidRPr="0050214C" w:rsidRDefault="00B352F9" w:rsidP="00E879CB">
      <w:pPr>
        <w:pStyle w:val="FooterConfidentiality"/>
        <w:widowControl w:val="0"/>
        <w:spacing w:before="120" w:after="120"/>
        <w:ind w:left="0"/>
        <w:jc w:val="both"/>
        <w:rPr>
          <w:rFonts w:cs="Arial"/>
        </w:rPr>
      </w:pPr>
      <w:r w:rsidRPr="0050214C">
        <w:rPr>
          <w:rFonts w:cs="Arial"/>
        </w:rPr>
        <w:t>Police-led DAPOs in the magistrates’ courts</w:t>
      </w:r>
    </w:p>
    <w:p w14:paraId="6933FD3A" w14:textId="43417D85" w:rsidR="00713035" w:rsidRDefault="006B4C50" w:rsidP="00E879CB">
      <w:pPr>
        <w:pStyle w:val="FooterConfidentiality"/>
        <w:widowControl w:val="0"/>
        <w:spacing w:before="120" w:after="120"/>
        <w:ind w:left="0"/>
        <w:jc w:val="both"/>
        <w:rPr>
          <w:rFonts w:cs="Arial"/>
          <w:b w:val="0"/>
        </w:rPr>
      </w:pPr>
      <w:r w:rsidRPr="0A487341">
        <w:rPr>
          <w:rFonts w:cs="Arial"/>
          <w:b w:val="0"/>
        </w:rPr>
        <w:t xml:space="preserve">Like the existing Domestic Violence Protection Notice (DVPN), the DAPN is a police-issued notice that will provide victims with immediate protection following an incident </w:t>
      </w:r>
      <w:r w:rsidR="001408CE">
        <w:rPr>
          <w:rFonts w:cs="Arial"/>
          <w:b w:val="0"/>
        </w:rPr>
        <w:t>of domestic abuse</w:t>
      </w:r>
      <w:r w:rsidR="003E7C47">
        <w:rPr>
          <w:rFonts w:cs="Arial"/>
          <w:b w:val="0"/>
        </w:rPr>
        <w:t>.</w:t>
      </w:r>
      <w:r w:rsidR="001408CE">
        <w:rPr>
          <w:rFonts w:cs="Arial"/>
          <w:b w:val="0"/>
        </w:rPr>
        <w:t xml:space="preserve"> </w:t>
      </w:r>
      <w:r w:rsidR="005B2C1A">
        <w:rPr>
          <w:rFonts w:cs="Arial"/>
          <w:b w:val="0"/>
        </w:rPr>
        <w:t xml:space="preserve">It will </w:t>
      </w:r>
      <w:r w:rsidRPr="0A487341">
        <w:rPr>
          <w:rFonts w:cs="Arial"/>
          <w:b w:val="0"/>
        </w:rPr>
        <w:t>impos</w:t>
      </w:r>
      <w:r w:rsidR="005B2C1A">
        <w:rPr>
          <w:rFonts w:cs="Arial"/>
          <w:b w:val="0"/>
        </w:rPr>
        <w:t>e</w:t>
      </w:r>
      <w:r w:rsidRPr="0A487341">
        <w:rPr>
          <w:rFonts w:cs="Arial"/>
          <w:b w:val="0"/>
        </w:rPr>
        <w:t xml:space="preserve"> </w:t>
      </w:r>
      <w:r w:rsidR="007A2D74">
        <w:rPr>
          <w:rFonts w:cs="Arial"/>
          <w:b w:val="0"/>
        </w:rPr>
        <w:t xml:space="preserve">prohibitions and </w:t>
      </w:r>
      <w:r w:rsidRPr="0A487341">
        <w:rPr>
          <w:rFonts w:cs="Arial"/>
          <w:b w:val="0"/>
        </w:rPr>
        <w:t>requirements</w:t>
      </w:r>
      <w:r w:rsidR="007A2D74">
        <w:rPr>
          <w:rFonts w:cs="Arial"/>
          <w:b w:val="0"/>
        </w:rPr>
        <w:t xml:space="preserve"> </w:t>
      </w:r>
      <w:r w:rsidR="00097000" w:rsidRPr="00097000">
        <w:rPr>
          <w:rFonts w:cs="Arial"/>
          <w:b w:val="0"/>
        </w:rPr>
        <w:t>necessary to protect the victim from future domestic abuse or the risk of domestic abuse</w:t>
      </w:r>
      <w:r w:rsidRPr="0A487341">
        <w:rPr>
          <w:rFonts w:cs="Arial"/>
          <w:b w:val="0"/>
        </w:rPr>
        <w:t>, such as prohibiting the alleged perpetrator from coming within a specified distance of the victim’s home.</w:t>
      </w:r>
      <w:r w:rsidR="004C3659">
        <w:rPr>
          <w:rFonts w:cs="Arial"/>
          <w:b w:val="0"/>
        </w:rPr>
        <w:t xml:space="preserve"> </w:t>
      </w:r>
      <w:r w:rsidRPr="0A487341">
        <w:rPr>
          <w:rFonts w:cs="Arial"/>
          <w:b w:val="0"/>
        </w:rPr>
        <w:t>If the police issue a DAPN</w:t>
      </w:r>
      <w:r w:rsidR="00AA4983">
        <w:rPr>
          <w:rFonts w:cs="Arial"/>
          <w:b w:val="0"/>
        </w:rPr>
        <w:t>,</w:t>
      </w:r>
      <w:r w:rsidRPr="0A487341">
        <w:rPr>
          <w:rFonts w:cs="Arial"/>
          <w:b w:val="0"/>
        </w:rPr>
        <w:t xml:space="preserve"> they must then apply for DAPO to the magistrates’ court</w:t>
      </w:r>
      <w:r w:rsidR="004A4E68">
        <w:rPr>
          <w:rFonts w:cs="Arial"/>
          <w:b w:val="0"/>
        </w:rPr>
        <w:t>, and this</w:t>
      </w:r>
      <w:r w:rsidRPr="0A487341">
        <w:rPr>
          <w:rFonts w:cs="Arial"/>
          <w:b w:val="0"/>
        </w:rPr>
        <w:t xml:space="preserve"> </w:t>
      </w:r>
      <w:r w:rsidR="00C739BE">
        <w:rPr>
          <w:rFonts w:cs="Arial"/>
          <w:b w:val="0"/>
        </w:rPr>
        <w:t xml:space="preserve">application </w:t>
      </w:r>
      <w:r w:rsidRPr="0A487341">
        <w:rPr>
          <w:rFonts w:cs="Arial"/>
          <w:b w:val="0"/>
        </w:rPr>
        <w:t xml:space="preserve">must be heard </w:t>
      </w:r>
      <w:r w:rsidR="004A4E68">
        <w:rPr>
          <w:rFonts w:cs="Arial"/>
          <w:b w:val="0"/>
        </w:rPr>
        <w:t xml:space="preserve">by the court </w:t>
      </w:r>
      <w:r w:rsidRPr="0A487341">
        <w:rPr>
          <w:rFonts w:cs="Arial"/>
          <w:b w:val="0"/>
        </w:rPr>
        <w:t>within 48</w:t>
      </w:r>
      <w:r w:rsidR="00445238">
        <w:rPr>
          <w:rFonts w:cs="Arial"/>
          <w:b w:val="0"/>
        </w:rPr>
        <w:t xml:space="preserve"> </w:t>
      </w:r>
      <w:r w:rsidRPr="0A487341">
        <w:rPr>
          <w:rFonts w:cs="Arial"/>
          <w:b w:val="0"/>
        </w:rPr>
        <w:t>hours of the DAPN being issued. If there is a</w:t>
      </w:r>
      <w:r w:rsidR="00445238">
        <w:rPr>
          <w:rFonts w:cs="Arial"/>
          <w:b w:val="0"/>
        </w:rPr>
        <w:t>n adjournment</w:t>
      </w:r>
      <w:r w:rsidRPr="0A487341">
        <w:rPr>
          <w:rFonts w:cs="Arial"/>
          <w:b w:val="0"/>
        </w:rPr>
        <w:t xml:space="preserve">, the DAPN continues to be valid until a DAPO is made. Police can also apply for a standalone DAPO without </w:t>
      </w:r>
      <w:r w:rsidR="00B26C6D">
        <w:rPr>
          <w:rFonts w:cs="Arial"/>
          <w:b w:val="0"/>
        </w:rPr>
        <w:t xml:space="preserve">ever issuing a </w:t>
      </w:r>
      <w:r w:rsidRPr="0A487341">
        <w:rPr>
          <w:rFonts w:cs="Arial"/>
          <w:b w:val="0"/>
        </w:rPr>
        <w:t>DAPN.</w:t>
      </w:r>
      <w:r w:rsidR="00AB35F7">
        <w:rPr>
          <w:rFonts w:cs="Arial"/>
          <w:b w:val="0"/>
        </w:rPr>
        <w:t xml:space="preserve"> </w:t>
      </w:r>
    </w:p>
    <w:p w14:paraId="5C8AD805" w14:textId="13ACDA00" w:rsidR="000542D2" w:rsidRPr="0050214C" w:rsidRDefault="000542D2" w:rsidP="00E879CB">
      <w:pPr>
        <w:pStyle w:val="FooterConfidentiality"/>
        <w:widowControl w:val="0"/>
        <w:spacing w:before="120" w:after="120"/>
        <w:ind w:left="0"/>
        <w:jc w:val="both"/>
        <w:rPr>
          <w:rFonts w:cs="Arial"/>
          <w:bCs/>
        </w:rPr>
      </w:pPr>
      <w:r w:rsidRPr="0050214C">
        <w:rPr>
          <w:rFonts w:cs="Arial"/>
          <w:bCs/>
        </w:rPr>
        <w:t>DAPOs in the family court</w:t>
      </w:r>
    </w:p>
    <w:p w14:paraId="3DE2FDAF" w14:textId="1C1D5E03" w:rsidR="000542D2" w:rsidRDefault="000542D2" w:rsidP="00E879CB">
      <w:pPr>
        <w:pStyle w:val="FooterConfidentiality"/>
        <w:widowControl w:val="0"/>
        <w:spacing w:before="120" w:after="120"/>
        <w:ind w:left="0"/>
        <w:jc w:val="both"/>
        <w:rPr>
          <w:rFonts w:cs="Arial"/>
          <w:b w:val="0"/>
        </w:rPr>
      </w:pPr>
      <w:r w:rsidRPr="64C25239">
        <w:rPr>
          <w:rFonts w:cs="Arial"/>
          <w:b w:val="0"/>
        </w:rPr>
        <w:t xml:space="preserve">DAPOs will be available on application by the victim or any </w:t>
      </w:r>
      <w:r w:rsidR="00EC3BBE" w:rsidRPr="64C25239">
        <w:rPr>
          <w:rFonts w:cs="Arial"/>
          <w:b w:val="0"/>
        </w:rPr>
        <w:t>third</w:t>
      </w:r>
      <w:r w:rsidRPr="64C25239">
        <w:rPr>
          <w:rFonts w:cs="Arial"/>
          <w:b w:val="0"/>
        </w:rPr>
        <w:t xml:space="preserve"> party with leave of the court</w:t>
      </w:r>
      <w:r w:rsidR="009C5E66" w:rsidRPr="64C25239">
        <w:rPr>
          <w:rFonts w:cs="Arial"/>
          <w:b w:val="0"/>
        </w:rPr>
        <w:t>.</w:t>
      </w:r>
      <w:r w:rsidRPr="64C25239">
        <w:rPr>
          <w:rFonts w:cs="Arial"/>
          <w:b w:val="0"/>
        </w:rPr>
        <w:t xml:space="preserve"> </w:t>
      </w:r>
      <w:r w:rsidR="000C1CD3" w:rsidRPr="64C25239">
        <w:rPr>
          <w:rFonts w:cs="Arial"/>
          <w:b w:val="0"/>
        </w:rPr>
        <w:t>It will also be available</w:t>
      </w:r>
      <w:r w:rsidR="005B5802" w:rsidRPr="64C25239">
        <w:rPr>
          <w:rFonts w:cs="Arial"/>
          <w:b w:val="0"/>
        </w:rPr>
        <w:t xml:space="preserve"> on</w:t>
      </w:r>
      <w:r w:rsidR="009C5E66" w:rsidRPr="64C25239">
        <w:rPr>
          <w:rFonts w:cs="Arial"/>
          <w:b w:val="0"/>
        </w:rPr>
        <w:t xml:space="preserve"> application by the victim </w:t>
      </w:r>
      <w:r w:rsidRPr="64C25239">
        <w:rPr>
          <w:rFonts w:cs="Arial"/>
          <w:b w:val="0"/>
        </w:rPr>
        <w:t xml:space="preserve">in any ongoing family proceedings </w:t>
      </w:r>
      <w:r w:rsidR="009C5E66" w:rsidRPr="64C25239">
        <w:rPr>
          <w:rFonts w:cs="Arial"/>
          <w:b w:val="0"/>
        </w:rPr>
        <w:t xml:space="preserve">which do not have to be domestic abuse related </w:t>
      </w:r>
      <w:r w:rsidR="003478AF" w:rsidRPr="64C25239">
        <w:rPr>
          <w:rFonts w:cs="Arial"/>
          <w:b w:val="0"/>
        </w:rPr>
        <w:t>(where the victim and perpetrator are already parties to th</w:t>
      </w:r>
      <w:r w:rsidR="007F26B8" w:rsidRPr="64C25239">
        <w:rPr>
          <w:rFonts w:cs="Arial"/>
          <w:b w:val="0"/>
        </w:rPr>
        <w:t>ose</w:t>
      </w:r>
      <w:r w:rsidR="003478AF" w:rsidRPr="64C25239">
        <w:rPr>
          <w:rFonts w:cs="Arial"/>
          <w:b w:val="0"/>
        </w:rPr>
        <w:t xml:space="preserve"> proceedings</w:t>
      </w:r>
      <w:r w:rsidR="00134AEC" w:rsidRPr="64C25239">
        <w:rPr>
          <w:rFonts w:cs="Arial"/>
          <w:b w:val="0"/>
        </w:rPr>
        <w:t xml:space="preserve">) </w:t>
      </w:r>
      <w:r w:rsidRPr="64C25239">
        <w:rPr>
          <w:rFonts w:cs="Arial"/>
          <w:b w:val="0"/>
        </w:rPr>
        <w:t>or on the court’s own motion</w:t>
      </w:r>
      <w:r w:rsidR="007F26B8" w:rsidRPr="64C25239">
        <w:rPr>
          <w:rFonts w:cs="Arial"/>
          <w:b w:val="0"/>
        </w:rPr>
        <w:t xml:space="preserve"> in such proceedings</w:t>
      </w:r>
      <w:r w:rsidRPr="64C25239">
        <w:rPr>
          <w:rFonts w:cs="Arial"/>
          <w:b w:val="0"/>
        </w:rPr>
        <w:t xml:space="preserve">. </w:t>
      </w:r>
      <w:r w:rsidR="008B1993" w:rsidRPr="64C25239">
        <w:rPr>
          <w:rFonts w:cs="Arial"/>
          <w:b w:val="0"/>
        </w:rPr>
        <w:t xml:space="preserve">For the </w:t>
      </w:r>
      <w:r w:rsidR="00D20885" w:rsidRPr="64C25239">
        <w:rPr>
          <w:rFonts w:cs="Arial"/>
          <w:b w:val="0"/>
        </w:rPr>
        <w:t>pilot purposes, our intention is not to lay regulations whi</w:t>
      </w:r>
      <w:r w:rsidR="009557D2" w:rsidRPr="64C25239">
        <w:rPr>
          <w:rFonts w:cs="Arial"/>
          <w:b w:val="0"/>
        </w:rPr>
        <w:t xml:space="preserve">ch will specify third parties who can apply in the family court under </w:t>
      </w:r>
      <w:hyperlink r:id="rId12">
        <w:r w:rsidR="009557D2" w:rsidRPr="64C25239">
          <w:rPr>
            <w:rStyle w:val="Hyperlink"/>
            <w:rFonts w:cs="Arial"/>
            <w:b w:val="0"/>
          </w:rPr>
          <w:t>s</w:t>
        </w:r>
        <w:r w:rsidR="00F55BEB" w:rsidRPr="64C25239">
          <w:rPr>
            <w:rStyle w:val="Hyperlink"/>
            <w:rFonts w:cs="Arial"/>
            <w:b w:val="0"/>
          </w:rPr>
          <w:t xml:space="preserve">ection </w:t>
        </w:r>
        <w:r w:rsidR="00130E87" w:rsidRPr="64C25239">
          <w:rPr>
            <w:rStyle w:val="Hyperlink"/>
            <w:rFonts w:cs="Arial"/>
            <w:b w:val="0"/>
          </w:rPr>
          <w:t>28(2</w:t>
        </w:r>
        <w:r w:rsidR="00DD122C" w:rsidRPr="64C25239">
          <w:rPr>
            <w:rStyle w:val="Hyperlink"/>
            <w:rFonts w:cs="Arial"/>
            <w:b w:val="0"/>
          </w:rPr>
          <w:t>)</w:t>
        </w:r>
        <w:r w:rsidR="00130E87" w:rsidRPr="64C25239">
          <w:rPr>
            <w:rStyle w:val="Hyperlink"/>
            <w:rFonts w:cs="Arial"/>
            <w:b w:val="0"/>
          </w:rPr>
          <w:t>(c)</w:t>
        </w:r>
      </w:hyperlink>
      <w:r w:rsidR="00951167" w:rsidRPr="64C25239">
        <w:rPr>
          <w:rFonts w:cs="Arial"/>
          <w:b w:val="0"/>
        </w:rPr>
        <w:t xml:space="preserve"> of the DA Act</w:t>
      </w:r>
      <w:r w:rsidR="002504EC" w:rsidRPr="64C25239">
        <w:rPr>
          <w:rFonts w:cs="Arial"/>
          <w:b w:val="0"/>
        </w:rPr>
        <w:t xml:space="preserve">, and instead leave it open to any third party to apply for </w:t>
      </w:r>
      <w:r w:rsidR="00435873" w:rsidRPr="64C25239">
        <w:rPr>
          <w:rFonts w:cs="Arial"/>
          <w:b w:val="0"/>
        </w:rPr>
        <w:t xml:space="preserve">leave from the court to bring an application under </w:t>
      </w:r>
      <w:hyperlink r:id="rId13">
        <w:r w:rsidR="00435873" w:rsidRPr="64C25239">
          <w:rPr>
            <w:rStyle w:val="Hyperlink"/>
            <w:rFonts w:cs="Arial"/>
            <w:b w:val="0"/>
          </w:rPr>
          <w:t>section 28(2)(d)</w:t>
        </w:r>
      </w:hyperlink>
      <w:r w:rsidR="00435873" w:rsidRPr="64C25239">
        <w:rPr>
          <w:rFonts w:cs="Arial"/>
          <w:b w:val="0"/>
        </w:rPr>
        <w:t xml:space="preserve">. </w:t>
      </w:r>
      <w:r w:rsidRPr="64C25239">
        <w:rPr>
          <w:rFonts w:cs="Arial"/>
          <w:b w:val="0"/>
        </w:rPr>
        <w:t xml:space="preserve">The procedure for family DAPOs will be </w:t>
      </w:r>
      <w:proofErr w:type="gramStart"/>
      <w:r w:rsidRPr="64C25239">
        <w:rPr>
          <w:rFonts w:cs="Arial"/>
          <w:b w:val="0"/>
        </w:rPr>
        <w:t>similar to</w:t>
      </w:r>
      <w:proofErr w:type="gramEnd"/>
      <w:r w:rsidRPr="64C25239">
        <w:rPr>
          <w:rFonts w:cs="Arial"/>
          <w:b w:val="0"/>
        </w:rPr>
        <w:t xml:space="preserve"> the current process</w:t>
      </w:r>
      <w:r w:rsidR="00D00E43" w:rsidRPr="64C25239">
        <w:rPr>
          <w:rFonts w:cs="Arial"/>
          <w:b w:val="0"/>
        </w:rPr>
        <w:t>es used</w:t>
      </w:r>
      <w:r w:rsidRPr="64C25239">
        <w:rPr>
          <w:rFonts w:cs="Arial"/>
          <w:b w:val="0"/>
        </w:rPr>
        <w:t xml:space="preserve"> for Non-Molestation Orders</w:t>
      </w:r>
      <w:r w:rsidR="006732CC" w:rsidRPr="64C25239">
        <w:rPr>
          <w:rFonts w:cs="Arial"/>
          <w:b w:val="0"/>
        </w:rPr>
        <w:t xml:space="preserve"> (NMOs)</w:t>
      </w:r>
      <w:r w:rsidR="009E6FB5" w:rsidRPr="64C25239">
        <w:rPr>
          <w:rFonts w:cs="Arial"/>
          <w:b w:val="0"/>
        </w:rPr>
        <w:t>, with elements of third</w:t>
      </w:r>
      <w:r w:rsidR="00DE5A1E" w:rsidRPr="64C25239">
        <w:rPr>
          <w:rFonts w:cs="Arial"/>
          <w:b w:val="0"/>
        </w:rPr>
        <w:t>-</w:t>
      </w:r>
      <w:r w:rsidR="009E6FB5" w:rsidRPr="64C25239">
        <w:rPr>
          <w:rFonts w:cs="Arial"/>
          <w:b w:val="0"/>
        </w:rPr>
        <w:t>party applications that you may be familiar with</w:t>
      </w:r>
      <w:r w:rsidR="00D00E43" w:rsidRPr="64C25239">
        <w:rPr>
          <w:rFonts w:cs="Arial"/>
          <w:b w:val="0"/>
        </w:rPr>
        <w:t>,</w:t>
      </w:r>
      <w:r w:rsidR="009E6FB5" w:rsidRPr="64C25239">
        <w:rPr>
          <w:rFonts w:cs="Arial"/>
          <w:b w:val="0"/>
        </w:rPr>
        <w:t xml:space="preserve"> through orders such as Female Genital Mutilation Protection Order</w:t>
      </w:r>
      <w:r w:rsidR="00A37B91" w:rsidRPr="64C25239">
        <w:rPr>
          <w:rFonts w:cs="Arial"/>
          <w:b w:val="0"/>
        </w:rPr>
        <w:t>s</w:t>
      </w:r>
      <w:r w:rsidR="009E6FB5" w:rsidRPr="64C25239">
        <w:rPr>
          <w:rFonts w:cs="Arial"/>
          <w:b w:val="0"/>
        </w:rPr>
        <w:t>.</w:t>
      </w:r>
    </w:p>
    <w:p w14:paraId="4E2805AF" w14:textId="27247ADF" w:rsidR="000542D2" w:rsidRPr="0050214C" w:rsidRDefault="000542D2" w:rsidP="00E879CB">
      <w:pPr>
        <w:pStyle w:val="FooterConfidentiality"/>
        <w:widowControl w:val="0"/>
        <w:spacing w:before="120" w:after="120"/>
        <w:ind w:left="0"/>
        <w:jc w:val="both"/>
        <w:rPr>
          <w:rFonts w:cs="Arial"/>
          <w:bCs/>
        </w:rPr>
      </w:pPr>
      <w:r w:rsidRPr="0050214C">
        <w:rPr>
          <w:rFonts w:cs="Arial"/>
          <w:bCs/>
        </w:rPr>
        <w:t>DAPOs in the civil (county) courts</w:t>
      </w:r>
    </w:p>
    <w:p w14:paraId="3D8A805F" w14:textId="3BD1B188" w:rsidR="000542D2" w:rsidRDefault="000542D2" w:rsidP="00E879CB">
      <w:pPr>
        <w:pStyle w:val="FooterConfidentiality"/>
        <w:widowControl w:val="0"/>
        <w:spacing w:before="120" w:after="120"/>
        <w:ind w:left="0"/>
        <w:jc w:val="both"/>
        <w:rPr>
          <w:rFonts w:cs="Arial"/>
          <w:b w:val="0"/>
        </w:rPr>
      </w:pPr>
      <w:r>
        <w:rPr>
          <w:rFonts w:cs="Arial"/>
          <w:b w:val="0"/>
        </w:rPr>
        <w:t>DAPOs will be available in limited circumstances in civil proceedings, as an ancillary order</w:t>
      </w:r>
      <w:r w:rsidR="009E6FB5">
        <w:rPr>
          <w:rFonts w:cs="Arial"/>
          <w:b w:val="0"/>
        </w:rPr>
        <w:t xml:space="preserve"> only</w:t>
      </w:r>
      <w:r>
        <w:rPr>
          <w:rFonts w:cs="Arial"/>
          <w:b w:val="0"/>
        </w:rPr>
        <w:t xml:space="preserve"> – in ongoing county court proceedings which </w:t>
      </w:r>
      <w:r w:rsidR="00E454D8">
        <w:rPr>
          <w:rFonts w:cs="Arial"/>
          <w:b w:val="0"/>
        </w:rPr>
        <w:t>have been</w:t>
      </w:r>
      <w:r>
        <w:rPr>
          <w:rFonts w:cs="Arial"/>
          <w:b w:val="0"/>
        </w:rPr>
        <w:t xml:space="preserve"> specified in </w:t>
      </w:r>
      <w:r>
        <w:rPr>
          <w:rFonts w:cs="Arial"/>
          <w:b w:val="0"/>
        </w:rPr>
        <w:lastRenderedPageBreak/>
        <w:t>regulations</w:t>
      </w:r>
      <w:r w:rsidR="000B4613">
        <w:rPr>
          <w:rStyle w:val="FootnoteReference"/>
          <w:rFonts w:cs="Arial"/>
          <w:b w:val="0"/>
        </w:rPr>
        <w:footnoteReference w:id="3"/>
      </w:r>
      <w:r>
        <w:rPr>
          <w:rFonts w:cs="Arial"/>
          <w:b w:val="0"/>
        </w:rPr>
        <w:t xml:space="preserve">, </w:t>
      </w:r>
      <w:r w:rsidR="00642668">
        <w:rPr>
          <w:rFonts w:cs="Arial"/>
          <w:b w:val="0"/>
        </w:rPr>
        <w:t xml:space="preserve">and </w:t>
      </w:r>
      <w:r>
        <w:rPr>
          <w:rFonts w:cs="Arial"/>
          <w:b w:val="0"/>
        </w:rPr>
        <w:t>where both</w:t>
      </w:r>
      <w:r w:rsidR="009E6FB5">
        <w:rPr>
          <w:rFonts w:cs="Arial"/>
          <w:b w:val="0"/>
        </w:rPr>
        <w:t xml:space="preserve"> the person to be protected and the respondent are parties to those proceedings.</w:t>
      </w:r>
    </w:p>
    <w:p w14:paraId="790B20FB" w14:textId="77CE5862" w:rsidR="009E6FB5" w:rsidRPr="0050214C" w:rsidRDefault="009E6FB5" w:rsidP="00E879CB">
      <w:pPr>
        <w:pStyle w:val="FooterConfidentiality"/>
        <w:widowControl w:val="0"/>
        <w:spacing w:before="120" w:after="120"/>
        <w:ind w:left="0"/>
        <w:jc w:val="both"/>
        <w:rPr>
          <w:rFonts w:cs="Arial"/>
          <w:bCs/>
        </w:rPr>
      </w:pPr>
      <w:r w:rsidRPr="0050214C">
        <w:rPr>
          <w:rFonts w:cs="Arial"/>
          <w:bCs/>
        </w:rPr>
        <w:t>DAPOs in criminal proceedings</w:t>
      </w:r>
      <w:r w:rsidR="005F28E6">
        <w:rPr>
          <w:rFonts w:cs="Arial"/>
          <w:bCs/>
        </w:rPr>
        <w:t xml:space="preserve"> (magistrates’ courts or the Crown Court)</w:t>
      </w:r>
    </w:p>
    <w:p w14:paraId="70752816" w14:textId="594FD194" w:rsidR="009E6FB5" w:rsidRDefault="009E6FB5" w:rsidP="00E879CB">
      <w:pPr>
        <w:pStyle w:val="FooterConfidentiality"/>
        <w:widowControl w:val="0"/>
        <w:spacing w:before="120" w:after="120"/>
        <w:ind w:left="0"/>
        <w:jc w:val="both"/>
        <w:rPr>
          <w:rFonts w:cs="Arial"/>
          <w:b w:val="0"/>
        </w:rPr>
      </w:pPr>
      <w:r>
        <w:rPr>
          <w:rFonts w:cs="Arial"/>
          <w:b w:val="0"/>
        </w:rPr>
        <w:t xml:space="preserve">DAPOs will be available in criminal proceedings as an ancillary order, on conviction or acquittal for an offence, in a similar way to </w:t>
      </w:r>
      <w:r w:rsidR="00D00E43">
        <w:rPr>
          <w:rFonts w:cs="Arial"/>
          <w:b w:val="0"/>
        </w:rPr>
        <w:t>how a</w:t>
      </w:r>
      <w:r>
        <w:rPr>
          <w:rFonts w:cs="Arial"/>
          <w:b w:val="0"/>
        </w:rPr>
        <w:t xml:space="preserve"> Restraining Order</w:t>
      </w:r>
      <w:r w:rsidR="00D00E43">
        <w:rPr>
          <w:rFonts w:cs="Arial"/>
          <w:b w:val="0"/>
        </w:rPr>
        <w:t xml:space="preserve"> is currently </w:t>
      </w:r>
      <w:r w:rsidR="00D301B2">
        <w:rPr>
          <w:rFonts w:cs="Arial"/>
          <w:b w:val="0"/>
        </w:rPr>
        <w:t>available</w:t>
      </w:r>
      <w:r>
        <w:rPr>
          <w:rFonts w:cs="Arial"/>
          <w:b w:val="0"/>
        </w:rPr>
        <w:t>.</w:t>
      </w:r>
    </w:p>
    <w:p w14:paraId="60C6A55F" w14:textId="454B4809" w:rsidR="00F74B3C" w:rsidRPr="00F74B3C" w:rsidRDefault="00C64F5E" w:rsidP="00E879CB">
      <w:pPr>
        <w:pStyle w:val="FooterConfidentiality"/>
        <w:widowControl w:val="0"/>
        <w:spacing w:before="120" w:after="120"/>
        <w:ind w:left="0"/>
        <w:jc w:val="both"/>
        <w:rPr>
          <w:rFonts w:cs="Arial"/>
          <w:bCs/>
        </w:rPr>
      </w:pPr>
      <w:r>
        <w:rPr>
          <w:rFonts w:cs="Arial"/>
          <w:bCs/>
        </w:rPr>
        <w:t xml:space="preserve">Scope of </w:t>
      </w:r>
      <w:r w:rsidR="00F74B3C" w:rsidRPr="00F74B3C">
        <w:rPr>
          <w:rFonts w:cs="Arial"/>
          <w:bCs/>
        </w:rPr>
        <w:t>this guidance</w:t>
      </w:r>
      <w:r w:rsidR="00D07629">
        <w:rPr>
          <w:rFonts w:cs="Arial"/>
          <w:bCs/>
        </w:rPr>
        <w:t xml:space="preserve"> </w:t>
      </w:r>
    </w:p>
    <w:p w14:paraId="76BE3E04" w14:textId="717B333A" w:rsidR="00036359" w:rsidRDefault="00762FED" w:rsidP="00E879CB">
      <w:pPr>
        <w:pStyle w:val="FooterConfidentiality"/>
        <w:widowControl w:val="0"/>
        <w:spacing w:before="120" w:after="120"/>
        <w:ind w:left="0"/>
        <w:jc w:val="both"/>
        <w:rPr>
          <w:rFonts w:cs="Arial"/>
          <w:b w:val="0"/>
        </w:rPr>
      </w:pPr>
      <w:r>
        <w:rPr>
          <w:rFonts w:cs="Arial"/>
          <w:b w:val="0"/>
        </w:rPr>
        <w:t xml:space="preserve">This guidance </w:t>
      </w:r>
      <w:r w:rsidR="00906C62">
        <w:rPr>
          <w:rFonts w:cs="Arial"/>
          <w:b w:val="0"/>
        </w:rPr>
        <w:t xml:space="preserve">is largely </w:t>
      </w:r>
      <w:r w:rsidR="00547B5A">
        <w:rPr>
          <w:rFonts w:cs="Arial"/>
          <w:b w:val="0"/>
        </w:rPr>
        <w:t>aimed at practi</w:t>
      </w:r>
      <w:r w:rsidR="006104E9">
        <w:rPr>
          <w:rFonts w:cs="Arial"/>
          <w:b w:val="0"/>
        </w:rPr>
        <w:t>tioners who will be advising clients involved in family and civil (county) court DAPO proceedings</w:t>
      </w:r>
      <w:r w:rsidR="0039043F">
        <w:rPr>
          <w:rFonts w:cs="Arial"/>
          <w:b w:val="0"/>
        </w:rPr>
        <w:t>.</w:t>
      </w:r>
      <w:r w:rsidR="00395931">
        <w:rPr>
          <w:rFonts w:cs="Arial"/>
          <w:b w:val="0"/>
        </w:rPr>
        <w:t xml:space="preserve"> </w:t>
      </w:r>
      <w:r w:rsidR="0039043F">
        <w:rPr>
          <w:rFonts w:cs="Arial"/>
          <w:b w:val="0"/>
        </w:rPr>
        <w:t>Separate statutory DAPO guidance for the police</w:t>
      </w:r>
      <w:r w:rsidR="006A66FE">
        <w:rPr>
          <w:rFonts w:cs="Arial"/>
          <w:b w:val="0"/>
        </w:rPr>
        <w:t xml:space="preserve"> </w:t>
      </w:r>
      <w:r w:rsidR="00772FBC">
        <w:rPr>
          <w:rFonts w:cs="Arial"/>
          <w:b w:val="0"/>
        </w:rPr>
        <w:t>w</w:t>
      </w:r>
      <w:r w:rsidR="008C4736">
        <w:rPr>
          <w:rFonts w:cs="Arial"/>
          <w:b w:val="0"/>
        </w:rPr>
        <w:t xml:space="preserve">as published </w:t>
      </w:r>
      <w:r w:rsidR="00E8757E">
        <w:rPr>
          <w:rFonts w:cs="Arial"/>
          <w:b w:val="0"/>
        </w:rPr>
        <w:t>on</w:t>
      </w:r>
      <w:r w:rsidR="00AF799E">
        <w:rPr>
          <w:rFonts w:cs="Arial"/>
          <w:b w:val="0"/>
        </w:rPr>
        <w:t xml:space="preserve"> </w:t>
      </w:r>
      <w:r w:rsidR="0051362D">
        <w:rPr>
          <w:rFonts w:cs="Arial"/>
          <w:b w:val="0"/>
        </w:rPr>
        <w:t>pilot launch</w:t>
      </w:r>
      <w:r w:rsidR="00772FBC">
        <w:rPr>
          <w:rFonts w:cs="Arial"/>
          <w:b w:val="0"/>
        </w:rPr>
        <w:t xml:space="preserve"> in November 2024:</w:t>
      </w:r>
      <w:r w:rsidR="005D7BD2">
        <w:rPr>
          <w:rFonts w:cs="Arial"/>
          <w:b w:val="0"/>
        </w:rPr>
        <w:t xml:space="preserve"> </w:t>
      </w:r>
      <w:hyperlink r:id="rId14" w:history="1">
        <w:r w:rsidR="00E8757E" w:rsidRPr="00E8757E">
          <w:rPr>
            <w:rStyle w:val="Hyperlink"/>
            <w:rFonts w:cs="Arial"/>
            <w:b w:val="0"/>
          </w:rPr>
          <w:t>Domestic abuse protection orders and domestic abuse protection notices: statutory guidance for the police (accessible) - GOV.UK</w:t>
        </w:r>
      </w:hyperlink>
      <w:r w:rsidR="00E8757E">
        <w:rPr>
          <w:rFonts w:cs="Arial"/>
          <w:b w:val="0"/>
        </w:rPr>
        <w:t>.</w:t>
      </w:r>
      <w:r w:rsidR="00906C62">
        <w:rPr>
          <w:rFonts w:cs="Arial"/>
          <w:b w:val="0"/>
        </w:rPr>
        <w:t xml:space="preserve"> </w:t>
      </w:r>
      <w:r w:rsidR="008370B5">
        <w:rPr>
          <w:rFonts w:cs="Arial"/>
          <w:b w:val="0"/>
        </w:rPr>
        <w:t>Police guidance focus</w:t>
      </w:r>
      <w:r w:rsidR="00F030A4">
        <w:rPr>
          <w:rFonts w:cs="Arial"/>
          <w:b w:val="0"/>
        </w:rPr>
        <w:t>es</w:t>
      </w:r>
      <w:r w:rsidR="008370B5">
        <w:rPr>
          <w:rFonts w:cs="Arial"/>
          <w:b w:val="0"/>
        </w:rPr>
        <w:t xml:space="preserve"> on police-led DAPOs</w:t>
      </w:r>
      <w:r w:rsidR="007655CA">
        <w:rPr>
          <w:rFonts w:cs="Arial"/>
          <w:b w:val="0"/>
        </w:rPr>
        <w:t xml:space="preserve"> in the magistrates’ courts in greater depth.</w:t>
      </w:r>
    </w:p>
    <w:p w14:paraId="57664E85" w14:textId="5EB746FE" w:rsidR="006B4C50" w:rsidRPr="00931973" w:rsidRDefault="006A17EB" w:rsidP="00C21E68">
      <w:pPr>
        <w:pStyle w:val="Heading2"/>
        <w:rPr>
          <w:rFonts w:ascii="Arial" w:hAnsi="Arial" w:cs="Arial"/>
          <w:color w:val="7030A0"/>
          <w:sz w:val="28"/>
          <w:szCs w:val="28"/>
        </w:rPr>
      </w:pPr>
      <w:bookmarkStart w:id="3" w:name="_Toc181202763"/>
      <w:r w:rsidRPr="00931973">
        <w:rPr>
          <w:rFonts w:ascii="Arial" w:hAnsi="Arial" w:cs="Arial"/>
          <w:color w:val="7030A0"/>
          <w:sz w:val="28"/>
          <w:szCs w:val="28"/>
        </w:rPr>
        <w:t xml:space="preserve">Key </w:t>
      </w:r>
      <w:r w:rsidR="0036622F" w:rsidRPr="00931973">
        <w:rPr>
          <w:rFonts w:ascii="Arial" w:hAnsi="Arial" w:cs="Arial"/>
          <w:color w:val="7030A0"/>
          <w:sz w:val="28"/>
          <w:szCs w:val="28"/>
        </w:rPr>
        <w:t xml:space="preserve">DAPO </w:t>
      </w:r>
      <w:r w:rsidRPr="00931973">
        <w:rPr>
          <w:rFonts w:ascii="Arial" w:hAnsi="Arial" w:cs="Arial"/>
          <w:color w:val="7030A0"/>
          <w:sz w:val="28"/>
          <w:szCs w:val="28"/>
        </w:rPr>
        <w:t>features</w:t>
      </w:r>
      <w:bookmarkEnd w:id="3"/>
    </w:p>
    <w:p w14:paraId="0ADF1BC3" w14:textId="23B2A66B" w:rsidR="006B4C50" w:rsidRPr="003F155F" w:rsidRDefault="006B4C50" w:rsidP="00E879CB">
      <w:pPr>
        <w:pStyle w:val="ListParagraph"/>
        <w:numPr>
          <w:ilvl w:val="0"/>
          <w:numId w:val="3"/>
        </w:numPr>
        <w:spacing w:after="0" w:line="240" w:lineRule="auto"/>
        <w:jc w:val="both"/>
      </w:pPr>
      <w:r w:rsidRPr="0A487341">
        <w:rPr>
          <w:b/>
          <w:bCs/>
        </w:rPr>
        <w:t>Duration</w:t>
      </w:r>
      <w:r w:rsidRPr="0A487341">
        <w:t>: The DAPO will not have a minimum or maximum duration</w:t>
      </w:r>
      <w:r w:rsidR="003F6063">
        <w:t>. This is to</w:t>
      </w:r>
      <w:r w:rsidR="004C1D5B">
        <w:t xml:space="preserve"> </w:t>
      </w:r>
      <w:r w:rsidRPr="0A487341">
        <w:t xml:space="preserve">provide victims with the protection they require for as long as needed. </w:t>
      </w:r>
      <w:r w:rsidR="00D00E43">
        <w:t xml:space="preserve">This </w:t>
      </w:r>
      <w:proofErr w:type="gramStart"/>
      <w:r w:rsidR="00D00E43">
        <w:t>is in contrast to</w:t>
      </w:r>
      <w:proofErr w:type="gramEnd"/>
      <w:r w:rsidR="00D00E43">
        <w:t xml:space="preserve"> DVPOs, which are limited to </w:t>
      </w:r>
      <w:r w:rsidR="00BF027A">
        <w:t xml:space="preserve">a maximum of </w:t>
      </w:r>
      <w:r w:rsidR="00D00E43">
        <w:t>28 days only.</w:t>
      </w:r>
    </w:p>
    <w:p w14:paraId="2C38BA58" w14:textId="7894F623" w:rsidR="006B4C50" w:rsidRPr="003F155F" w:rsidRDefault="006B4C50" w:rsidP="00E879CB">
      <w:pPr>
        <w:pStyle w:val="ListParagraph"/>
        <w:numPr>
          <w:ilvl w:val="0"/>
          <w:numId w:val="3"/>
        </w:numPr>
        <w:spacing w:after="0" w:line="240" w:lineRule="auto"/>
        <w:jc w:val="both"/>
      </w:pPr>
      <w:r w:rsidRPr="0A487341">
        <w:rPr>
          <w:b/>
          <w:bCs/>
        </w:rPr>
        <w:t>Breach</w:t>
      </w:r>
      <w:r w:rsidRPr="0A487341">
        <w:t xml:space="preserve">: </w:t>
      </w:r>
      <w:r w:rsidRPr="00137668">
        <w:rPr>
          <w:rStyle w:val="normaltextrun"/>
          <w:color w:val="000000"/>
          <w:shd w:val="clear" w:color="auto" w:fill="FFFFFF"/>
        </w:rPr>
        <w:t>Breach of any DAPO requirement without reasonable excuse will be a criminal offence, carrying a maximum penalty of up to 5 years imprisonment, a fine, or both. Breach can also be dealt with as a civil contempt of court.</w:t>
      </w:r>
      <w:r w:rsidRPr="00137668">
        <w:rPr>
          <w:rStyle w:val="eop"/>
          <w:color w:val="000000"/>
          <w:shd w:val="clear" w:color="auto" w:fill="FFFFFF"/>
        </w:rPr>
        <w:t> </w:t>
      </w:r>
    </w:p>
    <w:p w14:paraId="027DC5AA" w14:textId="5874120C" w:rsidR="00D4462B" w:rsidRPr="00D4462B" w:rsidRDefault="006B4C50" w:rsidP="00D00E43">
      <w:pPr>
        <w:pStyle w:val="ListParagraph"/>
        <w:numPr>
          <w:ilvl w:val="0"/>
          <w:numId w:val="3"/>
        </w:numPr>
        <w:spacing w:after="0" w:line="240" w:lineRule="auto"/>
        <w:jc w:val="both"/>
      </w:pPr>
      <w:r w:rsidRPr="0A487341">
        <w:rPr>
          <w:b/>
          <w:bCs/>
        </w:rPr>
        <w:t>Access</w:t>
      </w:r>
      <w:r w:rsidRPr="0A487341">
        <w:t xml:space="preserve">: DAPOs will be available in </w:t>
      </w:r>
      <w:r w:rsidR="00D00E43">
        <w:t>family, civil and criminal proceedings as set out above.</w:t>
      </w:r>
      <w:r w:rsidR="00B367DD">
        <w:t xml:space="preserve"> </w:t>
      </w:r>
      <w:r w:rsidRPr="0A487341">
        <w:t>The requirements which can be imposed by a DAPO and the consequences for breach are the same regardless of the court in which the DAPO is made.</w:t>
      </w:r>
    </w:p>
    <w:p w14:paraId="37EE70BD" w14:textId="77777777" w:rsidR="000E00D5" w:rsidRDefault="006B4C50" w:rsidP="000E00D5">
      <w:pPr>
        <w:pStyle w:val="ListParagraph"/>
        <w:numPr>
          <w:ilvl w:val="0"/>
          <w:numId w:val="3"/>
        </w:numPr>
        <w:spacing w:after="120" w:line="240" w:lineRule="auto"/>
        <w:jc w:val="both"/>
      </w:pPr>
      <w:r w:rsidRPr="00C52CC0">
        <w:rPr>
          <w:b/>
          <w:bCs/>
        </w:rPr>
        <w:t>Electronic monitoring (EM)</w:t>
      </w:r>
      <w:r w:rsidRPr="00C52CC0">
        <w:t xml:space="preserve">: The DAPO will be the first civil order to use EM (tagging) to monitor compliance with </w:t>
      </w:r>
      <w:r w:rsidR="0072437A">
        <w:t>other requirements</w:t>
      </w:r>
      <w:r w:rsidRPr="00C52CC0">
        <w:t xml:space="preserve">. EM will only be imposed under a DAPO where it is deemed by the court as necessary and proportionate. </w:t>
      </w:r>
    </w:p>
    <w:p w14:paraId="6277E307" w14:textId="0DB57700" w:rsidR="006B4C50" w:rsidRDefault="78E26A8D" w:rsidP="000E00D5">
      <w:pPr>
        <w:pStyle w:val="ListParagraph"/>
        <w:numPr>
          <w:ilvl w:val="0"/>
          <w:numId w:val="3"/>
        </w:numPr>
        <w:spacing w:after="120" w:line="240" w:lineRule="auto"/>
        <w:jc w:val="both"/>
      </w:pPr>
      <w:r w:rsidRPr="5ED58113">
        <w:rPr>
          <w:b/>
          <w:bCs/>
        </w:rPr>
        <w:t>Positive requirements</w:t>
      </w:r>
      <w:r>
        <w:t>:</w:t>
      </w:r>
      <w:r w:rsidRPr="5ED58113">
        <w:rPr>
          <w:b/>
          <w:bCs/>
        </w:rPr>
        <w:t xml:space="preserve"> </w:t>
      </w:r>
      <w:r>
        <w:t xml:space="preserve">Positive requirements can be imposed under a DAPO, mandating the </w:t>
      </w:r>
      <w:r w:rsidR="5D8C003B">
        <w:t>respondent</w:t>
      </w:r>
      <w:r>
        <w:t xml:space="preserve"> to take a positive action such as attendance on a perpetrator behaviour change programme. </w:t>
      </w:r>
    </w:p>
    <w:p w14:paraId="3F534D84" w14:textId="0631AB20" w:rsidR="000E00D5" w:rsidRPr="00F66693" w:rsidRDefault="000E00D5" w:rsidP="000E00D5">
      <w:pPr>
        <w:pStyle w:val="ListParagraph"/>
        <w:numPr>
          <w:ilvl w:val="0"/>
          <w:numId w:val="3"/>
        </w:numPr>
        <w:spacing w:after="120" w:line="240" w:lineRule="auto"/>
        <w:jc w:val="both"/>
      </w:pPr>
      <w:r w:rsidRPr="00C448F5">
        <w:rPr>
          <w:b/>
          <w:bCs/>
        </w:rPr>
        <w:t>Prohibitions</w:t>
      </w:r>
      <w:r w:rsidR="00EA7568">
        <w:rPr>
          <w:b/>
          <w:bCs/>
        </w:rPr>
        <w:t xml:space="preserve"> and restrictions</w:t>
      </w:r>
      <w:r>
        <w:t xml:space="preserve">: </w:t>
      </w:r>
      <w:r w:rsidR="00F85E3D">
        <w:t xml:space="preserve">There are various </w:t>
      </w:r>
      <w:r w:rsidR="00354020">
        <w:t xml:space="preserve">DAPO </w:t>
      </w:r>
      <w:r w:rsidR="00F85E3D">
        <w:t>requirements</w:t>
      </w:r>
      <w:r w:rsidR="00354020">
        <w:t xml:space="preserve"> available</w:t>
      </w:r>
      <w:r w:rsidRPr="00D4462B">
        <w:t xml:space="preserve"> to allow</w:t>
      </w:r>
      <w:r w:rsidR="00C60D9D">
        <w:t xml:space="preserve"> the court </w:t>
      </w:r>
      <w:r w:rsidR="00354020">
        <w:t xml:space="preserve">greater flexibility </w:t>
      </w:r>
      <w:r w:rsidR="00C60D9D">
        <w:t>to tailor the pro</w:t>
      </w:r>
      <w:r w:rsidR="00063BB6">
        <w:t>tection to each victim</w:t>
      </w:r>
      <w:r w:rsidRPr="00D4462B">
        <w:t xml:space="preserve">. The use of </w:t>
      </w:r>
      <w:r>
        <w:t>electronic monitoring and positive requirements</w:t>
      </w:r>
      <w:r w:rsidRPr="00D4462B">
        <w:t xml:space="preserve"> a</w:t>
      </w:r>
      <w:r w:rsidR="00063BB6">
        <w:t>re</w:t>
      </w:r>
      <w:r w:rsidRPr="00D4462B">
        <w:t xml:space="preserve"> additional feature</w:t>
      </w:r>
      <w:r w:rsidR="001D0EFF">
        <w:t>s</w:t>
      </w:r>
      <w:r w:rsidRPr="00D4462B">
        <w:t xml:space="preserve"> for the DAPO to build up greater protection for the victim and will not be appropriate in all instances</w:t>
      </w:r>
      <w:r>
        <w:t xml:space="preserve">. </w:t>
      </w:r>
      <w:r w:rsidRPr="00D4462B">
        <w:t xml:space="preserve">Therefore, DAPOs which </w:t>
      </w:r>
      <w:r w:rsidR="00624A50">
        <w:t xml:space="preserve">carry restrictions or </w:t>
      </w:r>
      <w:r w:rsidRPr="00D4462B">
        <w:t xml:space="preserve">prohibitions only </w:t>
      </w:r>
      <w:r w:rsidR="00E31D3A">
        <w:t>are</w:t>
      </w:r>
      <w:r w:rsidRPr="00D4462B">
        <w:t xml:space="preserve"> to be expected</w:t>
      </w:r>
      <w:r>
        <w:t>.</w:t>
      </w:r>
    </w:p>
    <w:p w14:paraId="32966126" w14:textId="3501C074" w:rsidR="006B4C50" w:rsidRDefault="006B4C50" w:rsidP="00E879CB">
      <w:pPr>
        <w:pStyle w:val="ListParagraph"/>
        <w:numPr>
          <w:ilvl w:val="0"/>
          <w:numId w:val="3"/>
        </w:numPr>
        <w:spacing w:after="120" w:line="240" w:lineRule="auto"/>
        <w:jc w:val="both"/>
      </w:pPr>
      <w:r w:rsidRPr="00C52CC0">
        <w:rPr>
          <w:b/>
          <w:bCs/>
        </w:rPr>
        <w:t xml:space="preserve">Mandatory notification requirements </w:t>
      </w:r>
      <w:r w:rsidR="00EA3A8F">
        <w:rPr>
          <w:b/>
          <w:bCs/>
        </w:rPr>
        <w:t xml:space="preserve">(notification </w:t>
      </w:r>
      <w:r w:rsidRPr="00C52CC0">
        <w:rPr>
          <w:b/>
          <w:bCs/>
        </w:rPr>
        <w:t>of name and address</w:t>
      </w:r>
      <w:r w:rsidR="00EA3A8F">
        <w:rPr>
          <w:b/>
          <w:bCs/>
        </w:rPr>
        <w:t>)</w:t>
      </w:r>
      <w:r w:rsidR="00E161C3" w:rsidRPr="00E161C3">
        <w:t>:</w:t>
      </w:r>
      <w:r w:rsidRPr="00C52CC0">
        <w:t xml:space="preserve"> The person subject to the order must notify </w:t>
      </w:r>
      <w:r w:rsidR="002409FE">
        <w:t xml:space="preserve">police </w:t>
      </w:r>
      <w:r w:rsidRPr="00C52CC0">
        <w:t xml:space="preserve">of their name and address, and any changes to these </w:t>
      </w:r>
      <w:r w:rsidR="00A7663C">
        <w:t xml:space="preserve">details </w:t>
      </w:r>
      <w:r w:rsidRPr="00C52CC0">
        <w:t>within three days of the change. Failure to comply will mean breach of the order.</w:t>
      </w:r>
      <w:r w:rsidR="00B22FF7">
        <w:t xml:space="preserve"> Each DAPO will automatically carry this requirement.</w:t>
      </w:r>
    </w:p>
    <w:p w14:paraId="40B25B14" w14:textId="3BEF94C8" w:rsidR="00B465D7" w:rsidRDefault="001A0330" w:rsidP="00E879CB">
      <w:pPr>
        <w:pStyle w:val="ListParagraph"/>
        <w:numPr>
          <w:ilvl w:val="0"/>
          <w:numId w:val="3"/>
        </w:numPr>
        <w:spacing w:after="120" w:line="240" w:lineRule="auto"/>
        <w:jc w:val="both"/>
      </w:pPr>
      <w:r w:rsidRPr="00B178B5">
        <w:rPr>
          <w:b/>
          <w:bCs/>
        </w:rPr>
        <w:t>D</w:t>
      </w:r>
      <w:r w:rsidR="00273BA8" w:rsidRPr="00B178B5">
        <w:rPr>
          <w:b/>
          <w:bCs/>
        </w:rPr>
        <w:t xml:space="preserve">urations for </w:t>
      </w:r>
      <w:r w:rsidR="006A6869" w:rsidRPr="00B178B5">
        <w:rPr>
          <w:b/>
          <w:bCs/>
        </w:rPr>
        <w:t>DAPO conditions</w:t>
      </w:r>
      <w:r w:rsidR="00E161C3" w:rsidRPr="00E161C3">
        <w:t>:</w:t>
      </w:r>
      <w:r w:rsidR="006A6869" w:rsidRPr="00B178B5">
        <w:t xml:space="preserve"> </w:t>
      </w:r>
      <w:r w:rsidRPr="00B178B5">
        <w:t xml:space="preserve">Different requirements or conditions can have different time durations. For example, in the application, it can be specified that the perpetrator is prohibited from entering a property for 28 </w:t>
      </w:r>
      <w:proofErr w:type="gramStart"/>
      <w:r w:rsidRPr="00B178B5">
        <w:t>days</w:t>
      </w:r>
      <w:r w:rsidR="000372C8">
        <w:t>,</w:t>
      </w:r>
      <w:r w:rsidR="00E75C17">
        <w:t xml:space="preserve"> </w:t>
      </w:r>
      <w:r w:rsidRPr="00B178B5">
        <w:t>but</w:t>
      </w:r>
      <w:proofErr w:type="gramEnd"/>
      <w:r w:rsidRPr="00B178B5">
        <w:t xml:space="preserve"> must attend a perpetrator programme for 6 months. A key consideration w</w:t>
      </w:r>
      <w:r w:rsidR="00E75C17">
        <w:t>h</w:t>
      </w:r>
      <w:r w:rsidRPr="00B178B5">
        <w:t xml:space="preserve">en applying for a DAPO is what is ‘necessary and proportionate’ to protect the victim. Note that EM </w:t>
      </w:r>
      <w:r w:rsidRPr="00B178B5">
        <w:lastRenderedPageBreak/>
        <w:t>conditions for DAPOs can only be in place for 12 months</w:t>
      </w:r>
      <w:r w:rsidR="00751AAE">
        <w:t xml:space="preserve"> at a time</w:t>
      </w:r>
      <w:r w:rsidRPr="00B178B5">
        <w:t>. If</w:t>
      </w:r>
      <w:r w:rsidR="00695E28" w:rsidRPr="00B178B5">
        <w:t>,</w:t>
      </w:r>
      <w:r w:rsidRPr="00B178B5">
        <w:t xml:space="preserve"> after 12 months, it is deemed that an EM condition is still required, an application can be made to vary the DAPO and reinstate the EM condition.</w:t>
      </w:r>
    </w:p>
    <w:p w14:paraId="7571CF93" w14:textId="77777777" w:rsidR="0069056B" w:rsidRPr="00197B4B" w:rsidRDefault="0069056B" w:rsidP="00197B4B">
      <w:pPr>
        <w:pStyle w:val="Heading1briefing"/>
      </w:pPr>
      <w:bookmarkStart w:id="4" w:name="_Toc181202764"/>
      <w:r w:rsidRPr="00197B4B">
        <w:t xml:space="preserve">Legal aid </w:t>
      </w:r>
      <w:r w:rsidRPr="00197B4B">
        <w:rPr>
          <w:vertAlign w:val="superscript"/>
        </w:rPr>
        <w:footnoteReference w:id="4"/>
      </w:r>
      <w:bookmarkEnd w:id="4"/>
    </w:p>
    <w:p w14:paraId="28A02245" w14:textId="77777777" w:rsidR="00EE47C9" w:rsidRDefault="00EE47C9" w:rsidP="00EE47C9">
      <w:pPr>
        <w:pStyle w:val="paragraph"/>
        <w:spacing w:before="0" w:beforeAutospacing="0" w:after="0" w:afterAutospacing="0"/>
        <w:rPr>
          <w:rStyle w:val="normaltextrun"/>
          <w:rFonts w:ascii="Arial" w:hAnsi="Arial" w:cs="Arial"/>
          <w:b/>
          <w:bCs/>
        </w:rPr>
      </w:pPr>
      <w:r w:rsidRPr="03D6D85C">
        <w:rPr>
          <w:rStyle w:val="normaltextrun"/>
          <w:rFonts w:ascii="Arial" w:hAnsi="Arial" w:cs="Arial"/>
          <w:b/>
          <w:bCs/>
        </w:rPr>
        <w:t>Background</w:t>
      </w:r>
    </w:p>
    <w:p w14:paraId="5D0FE04D" w14:textId="77777777" w:rsidR="00EE47C9" w:rsidRPr="00F5204F" w:rsidRDefault="00EE47C9" w:rsidP="00EE47C9">
      <w:pPr>
        <w:pStyle w:val="paragraph"/>
        <w:spacing w:before="0" w:beforeAutospacing="0" w:after="0" w:afterAutospacing="0"/>
        <w:textAlignment w:val="baseline"/>
        <w:rPr>
          <w:rFonts w:ascii="Arial" w:hAnsi="Arial" w:cs="Arial"/>
        </w:rPr>
      </w:pPr>
      <w:r w:rsidRPr="03D6D85C">
        <w:rPr>
          <w:rFonts w:ascii="Arial" w:hAnsi="Arial" w:cs="Arial"/>
        </w:rPr>
        <w:t xml:space="preserve">In addition to the guidance set out below, </w:t>
      </w:r>
      <w:r w:rsidRPr="00F5204F">
        <w:rPr>
          <w:rFonts w:ascii="Arial" w:hAnsi="Arial" w:cs="Arial"/>
        </w:rPr>
        <w:t>practitioners should refer to the Legal Aid Agency’s DAPN and DAPO contract changes press release of 15 October 2024</w:t>
      </w:r>
      <w:r w:rsidRPr="00F5204F">
        <w:rPr>
          <w:rStyle w:val="FootnoteReference"/>
          <w:rFonts w:ascii="Arial" w:eastAsiaTheme="majorEastAsia" w:hAnsi="Arial" w:cs="Arial"/>
        </w:rPr>
        <w:footnoteReference w:id="5"/>
      </w:r>
      <w:r w:rsidRPr="00F5204F">
        <w:rPr>
          <w:rFonts w:ascii="Arial" w:hAnsi="Arial" w:cs="Arial"/>
        </w:rPr>
        <w:t xml:space="preserve">. </w:t>
      </w:r>
      <w:proofErr w:type="gramStart"/>
      <w:r w:rsidRPr="00F5204F">
        <w:rPr>
          <w:rFonts w:ascii="Arial" w:hAnsi="Arial" w:cs="Arial"/>
        </w:rPr>
        <w:t>In particular, civil</w:t>
      </w:r>
      <w:proofErr w:type="gramEnd"/>
      <w:r w:rsidRPr="00F5204F">
        <w:rPr>
          <w:rFonts w:ascii="Arial" w:hAnsi="Arial" w:cs="Arial"/>
        </w:rPr>
        <w:t xml:space="preserve"> legal aid is addressed in the document “2024 Standard Civil Contract – DAPO Pilot Scheme Specification”</w:t>
      </w:r>
      <w:r w:rsidRPr="00F5204F">
        <w:rPr>
          <w:rStyle w:val="FootnoteReference"/>
          <w:rFonts w:ascii="Arial" w:eastAsiaTheme="majorEastAsia" w:hAnsi="Arial" w:cs="Arial"/>
        </w:rPr>
        <w:footnoteReference w:id="6"/>
      </w:r>
      <w:r w:rsidRPr="00F5204F">
        <w:rPr>
          <w:rFonts w:ascii="Arial" w:hAnsi="Arial" w:cs="Arial"/>
        </w:rPr>
        <w:t>; criminal legal aid is addressed as part of the guidance for the “Standard Crime Contract 2022”</w:t>
      </w:r>
      <w:r w:rsidRPr="00F5204F">
        <w:rPr>
          <w:rStyle w:val="FootnoteReference"/>
          <w:rFonts w:ascii="Arial" w:eastAsiaTheme="majorEastAsia" w:hAnsi="Arial" w:cs="Arial"/>
        </w:rPr>
        <w:footnoteReference w:id="7"/>
      </w:r>
      <w:r w:rsidRPr="00F5204F">
        <w:rPr>
          <w:rFonts w:ascii="Arial" w:hAnsi="Arial" w:cs="Arial"/>
        </w:rPr>
        <w:t>.</w:t>
      </w:r>
    </w:p>
    <w:p w14:paraId="451CD725" w14:textId="77777777" w:rsidR="00EE47C9" w:rsidRPr="00640D0B" w:rsidRDefault="00EE47C9" w:rsidP="00EE47C9">
      <w:pPr>
        <w:pStyle w:val="paragraph"/>
        <w:spacing w:before="0" w:beforeAutospacing="0" w:after="0" w:afterAutospacing="0"/>
        <w:textAlignment w:val="baseline"/>
        <w:rPr>
          <w:rStyle w:val="normaltextrun"/>
          <w:rFonts w:ascii="Arial" w:hAnsi="Arial" w:cs="Arial"/>
        </w:rPr>
      </w:pPr>
    </w:p>
    <w:p w14:paraId="7E7672DD" w14:textId="77777777" w:rsidR="00EE47C9" w:rsidRDefault="00EE47C9" w:rsidP="00EE47C9">
      <w:pPr>
        <w:pStyle w:val="paragraph"/>
        <w:spacing w:before="0" w:beforeAutospacing="0" w:after="0" w:afterAutospacing="0"/>
        <w:textAlignment w:val="baseline"/>
        <w:rPr>
          <w:rStyle w:val="eop"/>
          <w:rFonts w:ascii="Arial" w:hAnsi="Arial" w:cs="Arial"/>
        </w:rPr>
      </w:pPr>
      <w:r w:rsidRPr="06BA6D8B">
        <w:rPr>
          <w:rStyle w:val="normaltextrun"/>
          <w:rFonts w:ascii="Arial" w:hAnsi="Arial" w:cs="Arial"/>
        </w:rPr>
        <w:t>Legal aid will be available for DAPOs for both applicants, respondents, and (where applicable) eligible third parties</w:t>
      </w:r>
      <w:r w:rsidRPr="03D6D85C">
        <w:rPr>
          <w:rStyle w:val="normaltextrun"/>
          <w:rFonts w:ascii="Arial" w:hAnsi="Arial" w:cs="Arial"/>
        </w:rPr>
        <w:t xml:space="preserve"> (</w:t>
      </w:r>
      <w:r w:rsidRPr="2882AC0D">
        <w:rPr>
          <w:rFonts w:ascii="Arial" w:hAnsi="Arial" w:cs="Arial"/>
        </w:rPr>
        <w:t>i.e.</w:t>
      </w:r>
      <w:r w:rsidRPr="03D6D85C">
        <w:rPr>
          <w:rFonts w:ascii="Arial" w:hAnsi="Arial" w:cs="Arial"/>
        </w:rPr>
        <w:t xml:space="preserve"> individuals with leave of the court to apply for a DAPO on behalf of someone else)</w:t>
      </w:r>
      <w:r w:rsidRPr="06BA6D8B">
        <w:rPr>
          <w:rStyle w:val="normaltextrun"/>
          <w:rFonts w:ascii="Arial" w:hAnsi="Arial" w:cs="Arial"/>
        </w:rPr>
        <w:t xml:space="preserve"> subject to the usual means and merits tests. Below is a high-level summary of how civil and criminal legal aid will apply for DAPNs and DAPOs across different courts.</w:t>
      </w:r>
      <w:r w:rsidRPr="06BA6D8B">
        <w:rPr>
          <w:rStyle w:val="eop"/>
          <w:rFonts w:ascii="Arial" w:hAnsi="Arial" w:cs="Arial"/>
        </w:rPr>
        <w:t> </w:t>
      </w:r>
    </w:p>
    <w:p w14:paraId="212192FB"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p>
    <w:p w14:paraId="2FB4C895" w14:textId="6C588686" w:rsidR="00EE47C9" w:rsidRDefault="00EE47C9" w:rsidP="00EE47C9">
      <w:pPr>
        <w:pStyle w:val="paragraph"/>
        <w:spacing w:before="0" w:beforeAutospacing="0" w:after="0" w:afterAutospacing="0"/>
        <w:textAlignment w:val="baseline"/>
        <w:rPr>
          <w:rStyle w:val="eop"/>
          <w:rFonts w:ascii="Arial" w:hAnsi="Arial" w:cs="Arial"/>
        </w:rPr>
      </w:pPr>
      <w:r w:rsidRPr="7EF2B112">
        <w:rPr>
          <w:rStyle w:val="normaltextrun"/>
          <w:rFonts w:ascii="Arial" w:hAnsi="Arial" w:cs="Arial"/>
          <w:b/>
          <w:bCs/>
          <w:i/>
          <w:iCs/>
          <w:shd w:val="clear" w:color="auto" w:fill="FFFFFF"/>
        </w:rPr>
        <w:t>Civil Legal Aid</w:t>
      </w:r>
      <w:r w:rsidRPr="00030731">
        <w:rPr>
          <w:rStyle w:val="normaltextrun"/>
          <w:rFonts w:ascii="Arial" w:hAnsi="Arial" w:cs="Arial"/>
          <w:shd w:val="clear" w:color="auto" w:fill="FFFFFF"/>
        </w:rPr>
        <w:t> </w:t>
      </w:r>
      <w:r w:rsidRPr="00030731">
        <w:rPr>
          <w:rStyle w:val="eop"/>
          <w:rFonts w:ascii="Arial" w:hAnsi="Arial" w:cs="Arial"/>
        </w:rPr>
        <w:t> </w:t>
      </w:r>
    </w:p>
    <w:p w14:paraId="457FD452" w14:textId="4007B40B" w:rsidR="00EE47C9" w:rsidRDefault="00EE47C9" w:rsidP="00EE47C9">
      <w:pPr>
        <w:pStyle w:val="Default"/>
        <w:rPr>
          <w:rStyle w:val="eop"/>
        </w:rPr>
      </w:pPr>
      <w:r w:rsidRPr="06BA6D8B">
        <w:rPr>
          <w:rStyle w:val="normaltextrun"/>
        </w:rPr>
        <w:t xml:space="preserve">As DAPOs are civil orders, civil legal aid for legal representation will be available for DAPOs for both applicants (and if different, the person for whose protection the order is sought) and, where criminal legal aid is not available to them, the perpetrator (the </w:t>
      </w:r>
      <w:r>
        <w:t>person against whom a domestic abuse protection order is made)</w:t>
      </w:r>
      <w:r w:rsidRPr="06BA6D8B">
        <w:rPr>
          <w:rStyle w:val="normaltextrun"/>
        </w:rPr>
        <w:t>.</w:t>
      </w:r>
      <w:r>
        <w:rPr>
          <w:rStyle w:val="normaltextrun"/>
        </w:rPr>
        <w:t xml:space="preserve"> </w:t>
      </w:r>
      <w:r w:rsidRPr="03D6D85C">
        <w:rPr>
          <w:rStyle w:val="normaltextrun"/>
        </w:rPr>
        <w:t>As multi-jurisdictional orders, civil legal aid will be available across in the County, Family, Magistrates</w:t>
      </w:r>
      <w:r w:rsidR="00566820">
        <w:rPr>
          <w:rStyle w:val="normaltextrun"/>
        </w:rPr>
        <w:t>’</w:t>
      </w:r>
      <w:r w:rsidRPr="03D6D85C">
        <w:rPr>
          <w:rStyle w:val="normaltextrun"/>
        </w:rPr>
        <w:t xml:space="preserve"> and High courts and in the case of appeals, the Crown court and Court of Appeal. </w:t>
      </w:r>
      <w:r>
        <w:t xml:space="preserve">In the case of a police-led DAPO in the Magistrates’ courts, legal advice and assistance would be available for the person to be protected (as the DAPO application itself would be led by the police). </w:t>
      </w:r>
      <w:r w:rsidRPr="06BA6D8B">
        <w:rPr>
          <w:rStyle w:val="normaltextrun"/>
        </w:rPr>
        <w:t>Although legal aid will be available subject to means and merit testing, the existing means eligibility waiver will apply where appropriate.</w:t>
      </w:r>
    </w:p>
    <w:p w14:paraId="54011F9C" w14:textId="77777777" w:rsidR="00EE47C9" w:rsidRPr="00030731" w:rsidRDefault="00EE47C9" w:rsidP="00EE47C9">
      <w:pPr>
        <w:pStyle w:val="paragraph"/>
        <w:spacing w:before="0" w:beforeAutospacing="0" w:after="0" w:afterAutospacing="0"/>
        <w:textAlignment w:val="baseline"/>
        <w:rPr>
          <w:rFonts w:ascii="Arial" w:hAnsi="Arial" w:cs="Arial"/>
        </w:rPr>
      </w:pPr>
    </w:p>
    <w:p w14:paraId="4A268AFF"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r w:rsidRPr="00030731">
        <w:rPr>
          <w:rStyle w:val="normaltextrun"/>
          <w:rFonts w:ascii="Arial" w:hAnsi="Arial" w:cs="Arial"/>
          <w:b/>
          <w:bCs/>
          <w:i/>
          <w:iCs/>
        </w:rPr>
        <w:t>Criminal Legal Aid</w:t>
      </w:r>
      <w:r w:rsidRPr="00030731">
        <w:rPr>
          <w:rStyle w:val="normaltextrun"/>
          <w:rFonts w:ascii="Arial" w:hAnsi="Arial" w:cs="Arial"/>
        </w:rPr>
        <w:t> </w:t>
      </w:r>
      <w:r w:rsidRPr="00030731">
        <w:rPr>
          <w:rStyle w:val="eop"/>
          <w:rFonts w:ascii="Arial" w:hAnsi="Arial" w:cs="Arial"/>
        </w:rPr>
        <w:t> </w:t>
      </w:r>
    </w:p>
    <w:p w14:paraId="35F6440D" w14:textId="77777777" w:rsidR="00EE47C9" w:rsidRDefault="00EE47C9" w:rsidP="00EE47C9">
      <w:pPr>
        <w:pStyle w:val="paragraph"/>
        <w:spacing w:before="0" w:beforeAutospacing="0" w:after="0" w:afterAutospacing="0"/>
        <w:textAlignment w:val="baseline"/>
        <w:rPr>
          <w:rStyle w:val="eop"/>
          <w:rFonts w:ascii="Arial" w:hAnsi="Arial" w:cs="Arial"/>
        </w:rPr>
      </w:pPr>
      <w:r w:rsidRPr="00030731">
        <w:rPr>
          <w:rStyle w:val="normaltextrun"/>
          <w:rFonts w:ascii="Arial" w:hAnsi="Arial" w:cs="Arial"/>
        </w:rPr>
        <w:t xml:space="preserve">Criminal legal aid will be available to </w:t>
      </w:r>
      <w:r>
        <w:rPr>
          <w:rStyle w:val="normaltextrun"/>
          <w:rFonts w:ascii="Arial" w:hAnsi="Arial" w:cs="Arial"/>
        </w:rPr>
        <w:t>perpetrators/alleged perpetrators</w:t>
      </w:r>
      <w:r w:rsidRPr="00030731">
        <w:rPr>
          <w:rStyle w:val="normaltextrun"/>
          <w:rFonts w:ascii="Arial" w:hAnsi="Arial" w:cs="Arial"/>
        </w:rPr>
        <w:t xml:space="preserve"> </w:t>
      </w:r>
      <w:r>
        <w:rPr>
          <w:rStyle w:val="normaltextrun"/>
          <w:rFonts w:ascii="Arial" w:hAnsi="Arial" w:cs="Arial"/>
        </w:rPr>
        <w:t xml:space="preserve">who are </w:t>
      </w:r>
      <w:r w:rsidRPr="00030731">
        <w:rPr>
          <w:rStyle w:val="normaltextrun"/>
          <w:rFonts w:ascii="Arial" w:hAnsi="Arial" w:cs="Arial"/>
        </w:rPr>
        <w:t xml:space="preserve">respondents </w:t>
      </w:r>
      <w:r>
        <w:rPr>
          <w:rStyle w:val="normaltextrun"/>
          <w:rFonts w:ascii="Arial" w:hAnsi="Arial" w:cs="Arial"/>
        </w:rPr>
        <w:t>of</w:t>
      </w:r>
      <w:r w:rsidRPr="00030731">
        <w:rPr>
          <w:rStyle w:val="normaltextrun"/>
          <w:rFonts w:ascii="Arial" w:hAnsi="Arial" w:cs="Arial"/>
        </w:rPr>
        <w:t xml:space="preserve"> a DAPO where a DAPO is made in criminal proceedings</w:t>
      </w:r>
      <w:r>
        <w:rPr>
          <w:rStyle w:val="normaltextrun"/>
          <w:rFonts w:ascii="Arial" w:hAnsi="Arial" w:cs="Arial"/>
        </w:rPr>
        <w:t xml:space="preserve"> against them</w:t>
      </w:r>
      <w:r w:rsidRPr="00030731">
        <w:rPr>
          <w:rStyle w:val="normaltextrun"/>
          <w:rFonts w:ascii="Arial" w:hAnsi="Arial" w:cs="Arial"/>
        </w:rPr>
        <w:t xml:space="preserve">, whether </w:t>
      </w:r>
      <w:r>
        <w:rPr>
          <w:rStyle w:val="normaltextrun"/>
          <w:rFonts w:ascii="Arial" w:hAnsi="Arial" w:cs="Arial"/>
        </w:rPr>
        <w:t>they have</w:t>
      </w:r>
      <w:r w:rsidRPr="00030731">
        <w:rPr>
          <w:rStyle w:val="normaltextrun"/>
          <w:rFonts w:ascii="Arial" w:hAnsi="Arial" w:cs="Arial"/>
        </w:rPr>
        <w:t xml:space="preserve"> been convicted or acquitted of the offence. The availability of criminal legal aid </w:t>
      </w:r>
      <w:r>
        <w:rPr>
          <w:rStyle w:val="normaltextrun"/>
          <w:rFonts w:ascii="Arial" w:hAnsi="Arial" w:cs="Arial"/>
        </w:rPr>
        <w:t xml:space="preserve">for that individual </w:t>
      </w:r>
      <w:r w:rsidRPr="00030731">
        <w:rPr>
          <w:rStyle w:val="normaltextrun"/>
          <w:rFonts w:ascii="Arial" w:hAnsi="Arial" w:cs="Arial"/>
        </w:rPr>
        <w:t xml:space="preserve">extends to an application to vary or discharge a DAPO where it was made </w:t>
      </w:r>
      <w:proofErr w:type="gramStart"/>
      <w:r w:rsidRPr="00030731">
        <w:rPr>
          <w:rStyle w:val="normaltextrun"/>
          <w:rFonts w:ascii="Arial" w:hAnsi="Arial" w:cs="Arial"/>
        </w:rPr>
        <w:t>in the course of</w:t>
      </w:r>
      <w:proofErr w:type="gramEnd"/>
      <w:r w:rsidRPr="00030731">
        <w:rPr>
          <w:rStyle w:val="normaltextrun"/>
          <w:rFonts w:ascii="Arial" w:hAnsi="Arial" w:cs="Arial"/>
        </w:rPr>
        <w:t xml:space="preserve"> criminal proceedings. This will ensure that, where there are ongoing criminal proceedings, the </w:t>
      </w:r>
      <w:r>
        <w:rPr>
          <w:rStyle w:val="normaltextrun"/>
          <w:rFonts w:ascii="Arial" w:hAnsi="Arial" w:cs="Arial"/>
        </w:rPr>
        <w:t xml:space="preserve">person against whom the </w:t>
      </w:r>
      <w:r w:rsidRPr="00030731">
        <w:rPr>
          <w:rStyle w:val="normaltextrun"/>
          <w:rFonts w:ascii="Arial" w:hAnsi="Arial" w:cs="Arial"/>
        </w:rPr>
        <w:t>DAPO</w:t>
      </w:r>
      <w:r>
        <w:rPr>
          <w:rStyle w:val="normaltextrun"/>
          <w:rFonts w:ascii="Arial" w:hAnsi="Arial" w:cs="Arial"/>
        </w:rPr>
        <w:t xml:space="preserve"> is sought/made</w:t>
      </w:r>
      <w:r w:rsidRPr="00030731">
        <w:rPr>
          <w:rStyle w:val="normaltextrun"/>
          <w:rFonts w:ascii="Arial" w:hAnsi="Arial" w:cs="Arial"/>
        </w:rPr>
        <w:t xml:space="preserve"> can continue to be represented by the same lawyer, given </w:t>
      </w:r>
      <w:r w:rsidRPr="00030731">
        <w:rPr>
          <w:rStyle w:val="normaltextrun"/>
          <w:rFonts w:ascii="Arial" w:hAnsi="Arial" w:cs="Arial"/>
        </w:rPr>
        <w:lastRenderedPageBreak/>
        <w:t>that legal aid providers generally work either on civil and family matters, or criminal matters.  </w:t>
      </w:r>
      <w:r w:rsidRPr="00030731">
        <w:rPr>
          <w:rStyle w:val="eop"/>
          <w:rFonts w:ascii="Arial" w:hAnsi="Arial" w:cs="Arial"/>
        </w:rPr>
        <w:t> </w:t>
      </w:r>
    </w:p>
    <w:p w14:paraId="439D6BA8"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p>
    <w:p w14:paraId="0937EA12" w14:textId="77777777" w:rsidR="00EE47C9" w:rsidRPr="00030731" w:rsidRDefault="00EE47C9" w:rsidP="00EE47C9">
      <w:pPr>
        <w:pStyle w:val="paragraph"/>
        <w:spacing w:before="0" w:beforeAutospacing="0" w:after="0" w:afterAutospacing="0"/>
        <w:textAlignment w:val="baseline"/>
        <w:rPr>
          <w:rStyle w:val="eop"/>
          <w:rFonts w:ascii="Arial" w:hAnsi="Arial" w:cs="Arial"/>
        </w:rPr>
      </w:pPr>
      <w:r w:rsidRPr="4C54531B">
        <w:rPr>
          <w:rStyle w:val="normaltextrun"/>
          <w:rFonts w:ascii="Arial" w:hAnsi="Arial" w:cs="Arial"/>
        </w:rPr>
        <w:t xml:space="preserve">Criminal legal aid will be available to the person against whom the DAPO is sought in case of their arrest following a breach of a DAPN, and if the person is remanded in custody before the DAPO hearing. </w:t>
      </w:r>
      <w:r>
        <w:rPr>
          <w:rStyle w:val="normaltextrun"/>
          <w:rFonts w:ascii="Arial" w:hAnsi="Arial" w:cs="Arial"/>
        </w:rPr>
        <w:t xml:space="preserve"> </w:t>
      </w:r>
      <w:r w:rsidRPr="03D6D85C">
        <w:rPr>
          <w:rStyle w:val="normaltextrun"/>
          <w:rFonts w:ascii="Arial" w:hAnsi="Arial" w:cs="Arial"/>
        </w:rPr>
        <w:t xml:space="preserve">However, in some circumstances Civil legal aid may apply where the DAPN breach is combined with the DAPO application. </w:t>
      </w:r>
      <w:r w:rsidRPr="03D6D85C">
        <w:rPr>
          <w:rStyle w:val="eop"/>
          <w:rFonts w:ascii="Arial" w:hAnsi="Arial" w:cs="Arial"/>
        </w:rPr>
        <w:t> </w:t>
      </w:r>
    </w:p>
    <w:p w14:paraId="3A1337C0" w14:textId="3C9CF76D" w:rsidR="00EE47C9" w:rsidRDefault="00EE47C9" w:rsidP="000766B3">
      <w:r w:rsidRPr="00030731">
        <w:rPr>
          <w:rStyle w:val="normaltextrun"/>
        </w:rPr>
        <w:t xml:space="preserve">Breach of a DAPO is a criminal offence under section 39(1) of the DA Act, and criminal legal aid will be available for individuals in custody </w:t>
      </w:r>
      <w:r>
        <w:rPr>
          <w:rStyle w:val="normaltextrun"/>
        </w:rPr>
        <w:t xml:space="preserve">being prosecuted for this offence </w:t>
      </w:r>
      <w:r w:rsidRPr="00030731">
        <w:rPr>
          <w:rStyle w:val="normaltextrun"/>
        </w:rPr>
        <w:t xml:space="preserve">where the relevant </w:t>
      </w:r>
      <w:r>
        <w:rPr>
          <w:rStyle w:val="normaltextrun"/>
        </w:rPr>
        <w:t xml:space="preserve">legal aid </w:t>
      </w:r>
      <w:r w:rsidRPr="00030731">
        <w:rPr>
          <w:rStyle w:val="normaltextrun"/>
        </w:rPr>
        <w:t>conditions are met. </w:t>
      </w:r>
      <w:r w:rsidRPr="00030731">
        <w:rPr>
          <w:rStyle w:val="eop"/>
        </w:rPr>
        <w:t> </w:t>
      </w:r>
    </w:p>
    <w:p w14:paraId="6057E15D" w14:textId="77777777" w:rsidR="00AC3A48" w:rsidRPr="00CE6DED" w:rsidRDefault="00AC3A48" w:rsidP="00CE6DED">
      <w:pPr>
        <w:pStyle w:val="Heading1briefing"/>
      </w:pPr>
      <w:bookmarkStart w:id="5" w:name="_Toc153264634"/>
      <w:bookmarkStart w:id="6" w:name="_Toc181202765"/>
      <w:r w:rsidRPr="00CE6DED">
        <w:t>Conditions for making a DAPO</w:t>
      </w:r>
      <w:bookmarkEnd w:id="5"/>
      <w:bookmarkEnd w:id="6"/>
    </w:p>
    <w:p w14:paraId="266D84AE" w14:textId="77777777" w:rsidR="00AC3A48" w:rsidRDefault="00AC3A48" w:rsidP="00CE6DED">
      <w:pPr>
        <w:pStyle w:val="BodyText"/>
        <w:spacing w:line="276" w:lineRule="auto"/>
        <w:rPr>
          <w:b/>
          <w:sz w:val="32"/>
          <w:szCs w:val="32"/>
        </w:rPr>
      </w:pPr>
      <w:r>
        <w:rPr>
          <w:bCs/>
        </w:rPr>
        <w:t xml:space="preserve">A DAPO is an order made for the purpose of protecting a victim against </w:t>
      </w:r>
      <w:r>
        <w:rPr>
          <w:rFonts w:eastAsiaTheme="minorEastAsia" w:cs="Arial"/>
          <w:color w:val="000000" w:themeColor="text1"/>
        </w:rPr>
        <w:t>domestic abuse</w:t>
      </w:r>
      <w:r>
        <w:rPr>
          <w:bCs/>
        </w:rPr>
        <w:t xml:space="preserve"> or the risk of </w:t>
      </w:r>
      <w:r>
        <w:rPr>
          <w:rFonts w:eastAsiaTheme="minorEastAsia" w:cs="Arial"/>
          <w:color w:val="000000" w:themeColor="text1"/>
        </w:rPr>
        <w:t>domestic abuse</w:t>
      </w:r>
      <w:r>
        <w:rPr>
          <w:bCs/>
        </w:rPr>
        <w:t xml:space="preserve"> as defined in </w:t>
      </w:r>
      <w:hyperlink r:id="rId15" w:anchor=":~:text=%281%29%20This%20section%20defines%20%E2%80%9Cdomestic%20abuse%E2%80%9D%20for%20the,each%20other%2C%20and%20%28b%29%20the%20behaviour%20is%20abusive." w:history="1">
        <w:r>
          <w:rPr>
            <w:rStyle w:val="Hyperlink"/>
            <w:bCs/>
          </w:rPr>
          <w:t>Section 1 of the DA Act 2021</w:t>
        </w:r>
      </w:hyperlink>
      <w:r>
        <w:rPr>
          <w:bCs/>
        </w:rPr>
        <w:t xml:space="preserve"> and:</w:t>
      </w:r>
    </w:p>
    <w:p w14:paraId="5287BD29" w14:textId="77777777" w:rsidR="00AC3A48" w:rsidRDefault="00AC3A48" w:rsidP="00CD3F30">
      <w:pPr>
        <w:pStyle w:val="BodyText"/>
        <w:numPr>
          <w:ilvl w:val="0"/>
          <w:numId w:val="27"/>
        </w:numPr>
        <w:spacing w:line="276" w:lineRule="auto"/>
        <w:ind w:left="1560" w:hanging="426"/>
        <w:rPr>
          <w:bCs/>
        </w:rPr>
      </w:pPr>
      <w:r>
        <w:rPr>
          <w:bCs/>
        </w:rPr>
        <w:t xml:space="preserve">Prohibits the perpetrator from carrying out actions specified in the </w:t>
      </w:r>
      <w:proofErr w:type="gramStart"/>
      <w:r>
        <w:rPr>
          <w:bCs/>
        </w:rPr>
        <w:t>order;</w:t>
      </w:r>
      <w:proofErr w:type="gramEnd"/>
    </w:p>
    <w:p w14:paraId="3C709F58" w14:textId="77777777" w:rsidR="00AC3A48" w:rsidRDefault="00AC3A48" w:rsidP="00CD3F30">
      <w:pPr>
        <w:pStyle w:val="BodyText"/>
        <w:numPr>
          <w:ilvl w:val="0"/>
          <w:numId w:val="27"/>
        </w:numPr>
        <w:spacing w:line="276" w:lineRule="auto"/>
        <w:ind w:left="1560" w:hanging="426"/>
        <w:rPr>
          <w:bCs/>
        </w:rPr>
      </w:pPr>
      <w:r>
        <w:rPr>
          <w:bCs/>
        </w:rPr>
        <w:t>Requires the perpetrator to comply with actions specified in the order.</w:t>
      </w:r>
    </w:p>
    <w:p w14:paraId="479DB774" w14:textId="218B0CA2" w:rsidR="00AC3A48" w:rsidRDefault="00AC3A48" w:rsidP="00CE6DED">
      <w:pPr>
        <w:pStyle w:val="BodyText"/>
        <w:spacing w:line="276" w:lineRule="auto"/>
      </w:pPr>
      <w:r>
        <w:t>A court may make a DAPO if</w:t>
      </w:r>
      <w:r>
        <w:rPr>
          <w:rFonts w:cs="Arial"/>
        </w:rPr>
        <w:t xml:space="preserve"> </w:t>
      </w:r>
      <w:hyperlink r:id="rId16" w:history="1">
        <w:r>
          <w:rPr>
            <w:rStyle w:val="Hyperlink"/>
            <w:rFonts w:cs="Arial"/>
          </w:rPr>
          <w:t>(Section 32</w:t>
        </w:r>
      </w:hyperlink>
      <w:r>
        <w:rPr>
          <w:rStyle w:val="Hyperlink"/>
          <w:rFonts w:cs="Arial"/>
        </w:rPr>
        <w:t>)</w:t>
      </w:r>
      <w:r>
        <w:rPr>
          <w:rFonts w:cs="Arial"/>
        </w:rPr>
        <w:t xml:space="preserve">: </w:t>
      </w:r>
    </w:p>
    <w:p w14:paraId="0893B7BC" w14:textId="77777777" w:rsidR="00AC3A48" w:rsidRDefault="00AC3A48" w:rsidP="00CD3F30">
      <w:pPr>
        <w:pStyle w:val="ListParagraph"/>
        <w:numPr>
          <w:ilvl w:val="0"/>
          <w:numId w:val="28"/>
        </w:numPr>
        <w:spacing w:after="240" w:line="276" w:lineRule="auto"/>
        <w:ind w:left="1560" w:hanging="426"/>
      </w:pPr>
      <w:r>
        <w:t xml:space="preserve">The </w:t>
      </w:r>
      <w:r w:rsidRPr="00C018D9">
        <w:rPr>
          <w:b/>
          <w:bCs/>
        </w:rPr>
        <w:t>perpetrator is</w:t>
      </w:r>
      <w:r>
        <w:t xml:space="preserve"> </w:t>
      </w:r>
      <w:r w:rsidRPr="00C018D9">
        <w:rPr>
          <w:b/>
          <w:bCs/>
        </w:rPr>
        <w:t>aged 18</w:t>
      </w:r>
      <w:r>
        <w:t xml:space="preserve"> or over and has been abusive towards a </w:t>
      </w:r>
      <w:r w:rsidRPr="00C018D9">
        <w:rPr>
          <w:b/>
          <w:bCs/>
        </w:rPr>
        <w:t>person</w:t>
      </w:r>
      <w:r>
        <w:t xml:space="preserve"> </w:t>
      </w:r>
      <w:r w:rsidRPr="00C018D9">
        <w:rPr>
          <w:b/>
          <w:bCs/>
        </w:rPr>
        <w:t>aged 16</w:t>
      </w:r>
      <w:r>
        <w:t xml:space="preserve"> or over to whom they are personally connected</w:t>
      </w:r>
      <w:r>
        <w:rPr>
          <w:rStyle w:val="FootnoteReference"/>
        </w:rPr>
        <w:footnoteReference w:id="8"/>
      </w:r>
      <w:r>
        <w:t>;</w:t>
      </w:r>
    </w:p>
    <w:p w14:paraId="25FC4B90" w14:textId="77777777" w:rsidR="00AC3A48" w:rsidRDefault="00AC3A48" w:rsidP="00AC3A48">
      <w:pPr>
        <w:pStyle w:val="ListParagraph"/>
        <w:ind w:left="1560" w:hanging="426"/>
      </w:pPr>
    </w:p>
    <w:p w14:paraId="1DE00888" w14:textId="71FDC2CC" w:rsidR="00AC3A48" w:rsidRDefault="00AC3A48" w:rsidP="00B52FB2">
      <w:pPr>
        <w:pStyle w:val="ListParagraph"/>
        <w:numPr>
          <w:ilvl w:val="0"/>
          <w:numId w:val="28"/>
        </w:numPr>
        <w:spacing w:after="240" w:line="276" w:lineRule="auto"/>
        <w:ind w:left="1560" w:hanging="426"/>
      </w:pPr>
      <w:r>
        <w:t xml:space="preserve">The court considers the DAPO to be </w:t>
      </w:r>
      <w:r>
        <w:rPr>
          <w:b/>
          <w:bCs/>
        </w:rPr>
        <w:t>necessary and proportionate</w:t>
      </w:r>
      <w:r>
        <w:t xml:space="preserve"> to protect the person from domestic abuse, or the risk of domestic abuse, carried out by the perpetrator. </w:t>
      </w:r>
    </w:p>
    <w:p w14:paraId="36B4184E" w14:textId="77777777" w:rsidR="00AC3A48" w:rsidRDefault="00AC3A48" w:rsidP="00CE6DED">
      <w:pPr>
        <w:spacing w:after="240" w:line="276" w:lineRule="auto"/>
      </w:pPr>
      <w:r>
        <w:t xml:space="preserve">A DAPO is a civil order and therefore </w:t>
      </w:r>
      <w:r w:rsidRPr="00CE6DED">
        <w:rPr>
          <w:b/>
        </w:rPr>
        <w:t>no prior conviction is required</w:t>
      </w:r>
      <w:r>
        <w:t xml:space="preserve"> for the court to make a DAPO or for police to make an application.</w:t>
      </w:r>
    </w:p>
    <w:p w14:paraId="36154C71" w14:textId="44671E95" w:rsidR="00AC3A48" w:rsidRPr="00CE6DED" w:rsidRDefault="00AC3A48" w:rsidP="00CE6DED">
      <w:pPr>
        <w:spacing w:after="240" w:line="276" w:lineRule="auto"/>
      </w:pPr>
      <w:r w:rsidRPr="00CE6DED">
        <w:rPr>
          <w:b/>
          <w:bCs/>
        </w:rPr>
        <w:t>For the pilot, the perpetrator must reside in the piloting police force area for a DAPO</w:t>
      </w:r>
      <w:r w:rsidR="007271C3">
        <w:rPr>
          <w:b/>
          <w:bCs/>
        </w:rPr>
        <w:t xml:space="preserve"> </w:t>
      </w:r>
      <w:r w:rsidR="00445CA7">
        <w:rPr>
          <w:b/>
          <w:bCs/>
        </w:rPr>
        <w:t xml:space="preserve">application </w:t>
      </w:r>
      <w:r w:rsidRPr="00CE6DED">
        <w:rPr>
          <w:b/>
          <w:bCs/>
        </w:rPr>
        <w:t>to be brought.</w:t>
      </w:r>
      <w:r>
        <w:t xml:space="preserve"> The victim can reside anywhere, including outside of the pilot area</w:t>
      </w:r>
      <w:r w:rsidR="005F47CF">
        <w:t>, although if an application is made in the family court, the victim may need to attend a hearing</w:t>
      </w:r>
      <w:r w:rsidR="00CE6AA4">
        <w:t xml:space="preserve"> in the piloting </w:t>
      </w:r>
      <w:r w:rsidR="00E91867">
        <w:t xml:space="preserve">family </w:t>
      </w:r>
      <w:r w:rsidR="00CE6AA4">
        <w:t>court</w:t>
      </w:r>
      <w:r>
        <w:t xml:space="preserve">.  </w:t>
      </w:r>
    </w:p>
    <w:p w14:paraId="6A22584D" w14:textId="06CD6C66" w:rsidR="00AC3A48" w:rsidRDefault="00AC3A48" w:rsidP="00CE6DED">
      <w:pPr>
        <w:spacing w:after="240" w:line="276" w:lineRule="auto"/>
      </w:pPr>
      <w:r>
        <w:t>It does not matter whether the abusive behaviour took place in England, Wales or elsewhere</w:t>
      </w:r>
      <w:r w:rsidR="00C3373A">
        <w:t xml:space="preserve"> (</w:t>
      </w:r>
      <w:hyperlink r:id="rId17" w:history="1">
        <w:r w:rsidR="00C3373A" w:rsidRPr="00471753">
          <w:rPr>
            <w:rStyle w:val="Hyperlink"/>
          </w:rPr>
          <w:t>section 32</w:t>
        </w:r>
        <w:r w:rsidR="00474445" w:rsidRPr="00471753">
          <w:rPr>
            <w:rStyle w:val="Hyperlink"/>
          </w:rPr>
          <w:t>(4)</w:t>
        </w:r>
      </w:hyperlink>
      <w:r w:rsidR="00C3373A">
        <w:t>)</w:t>
      </w:r>
      <w:r>
        <w:t>.</w:t>
      </w:r>
    </w:p>
    <w:p w14:paraId="1902F46F" w14:textId="4B192EEA" w:rsidR="00AC3A48" w:rsidRPr="00B52FB2" w:rsidRDefault="00AC3A48" w:rsidP="00B52FB2">
      <w:pPr>
        <w:rPr>
          <w:rFonts w:cs="Courier New"/>
          <w:b/>
          <w:bCs/>
          <w:i/>
        </w:rPr>
      </w:pPr>
      <w:bookmarkStart w:id="7" w:name="_Toc153264636"/>
      <w:r w:rsidRPr="00CE6DED">
        <w:rPr>
          <w:color w:val="7030A0"/>
          <w:sz w:val="36"/>
          <w:szCs w:val="36"/>
        </w:rPr>
        <w:lastRenderedPageBreak/>
        <w:t>Making a DAPO without notice</w:t>
      </w:r>
      <w:bookmarkEnd w:id="7"/>
    </w:p>
    <w:p w14:paraId="6004E169" w14:textId="2F426A81" w:rsidR="00AC3A48" w:rsidRPr="00CE6DED" w:rsidRDefault="00AC3A48" w:rsidP="00B52FB2">
      <w:pPr>
        <w:spacing w:after="240" w:line="276" w:lineRule="auto"/>
      </w:pPr>
      <w:bookmarkStart w:id="8" w:name="_Toc152153512"/>
      <w:bookmarkStart w:id="9" w:name="_Toc152770570"/>
      <w:r w:rsidRPr="00B52FB2">
        <w:t xml:space="preserve">The court may make a DAPO against the perpetrator without the </w:t>
      </w:r>
      <w:r>
        <w:t>perpetrator being given</w:t>
      </w:r>
      <w:r w:rsidR="00D31242">
        <w:t xml:space="preserve"> </w:t>
      </w:r>
      <w:r>
        <w:t xml:space="preserve">notice of the proceedings if the court consider it is just and convenient for the protection of the victim </w:t>
      </w:r>
      <w:hyperlink r:id="rId18" w:history="1">
        <w:r w:rsidRPr="00556A03">
          <w:rPr>
            <w:rStyle w:val="Hyperlink"/>
          </w:rPr>
          <w:t>(</w:t>
        </w:r>
        <w:r w:rsidRPr="00C14710">
          <w:rPr>
            <w:rStyle w:val="Hyperlink"/>
          </w:rPr>
          <w:t>Section 34</w:t>
        </w:r>
        <w:r w:rsidRPr="00556A03">
          <w:rPr>
            <w:rStyle w:val="Hyperlink"/>
          </w:rPr>
          <w:t>)</w:t>
        </w:r>
      </w:hyperlink>
      <w:r>
        <w:t xml:space="preserve">. To note, </w:t>
      </w:r>
      <w:hyperlink r:id="rId19" w:history="1">
        <w:r w:rsidRPr="00B52FB2">
          <w:t>Section 34</w:t>
        </w:r>
      </w:hyperlink>
      <w:r>
        <w:t xml:space="preserve"> does not apply to DAPO applications made by the police following a DAPN where the police do not have an address for service. In such cases </w:t>
      </w:r>
      <w:hyperlink r:id="rId20" w:history="1">
        <w:r w:rsidRPr="00556A03">
          <w:rPr>
            <w:rStyle w:val="Hyperlink"/>
          </w:rPr>
          <w:t>Section 29(4) to (6)</w:t>
        </w:r>
      </w:hyperlink>
      <w:r>
        <w:t xml:space="preserve"> applies</w:t>
      </w:r>
      <w:bookmarkStart w:id="10" w:name="_Toc152153513"/>
      <w:bookmarkStart w:id="11" w:name="_Toc152770571"/>
      <w:bookmarkEnd w:id="8"/>
      <w:bookmarkEnd w:id="9"/>
      <w:r w:rsidR="00017593">
        <w:t>.</w:t>
      </w:r>
      <w:bookmarkStart w:id="12" w:name="_Toc152153514"/>
      <w:bookmarkStart w:id="13" w:name="_Toc152770572"/>
      <w:bookmarkEnd w:id="10"/>
      <w:bookmarkEnd w:id="11"/>
    </w:p>
    <w:p w14:paraId="36486438" w14:textId="77777777" w:rsidR="00AC3A48" w:rsidRDefault="00AC3A48" w:rsidP="00556A03">
      <w:pPr>
        <w:spacing w:after="240" w:line="276" w:lineRule="auto"/>
      </w:pPr>
      <w:r>
        <w:t>In deciding whether to make a DAPO without notice, the court must have regard to all the circumstances, including:</w:t>
      </w:r>
      <w:bookmarkEnd w:id="12"/>
      <w:bookmarkEnd w:id="13"/>
    </w:p>
    <w:p w14:paraId="1239817A" w14:textId="77777777" w:rsidR="00AC3A48" w:rsidRDefault="00AC3A48" w:rsidP="00556A03">
      <w:pPr>
        <w:pStyle w:val="ListParagraph"/>
        <w:numPr>
          <w:ilvl w:val="0"/>
          <w:numId w:val="29"/>
        </w:numPr>
        <w:spacing w:after="240" w:line="276" w:lineRule="auto"/>
        <w:ind w:left="852" w:hanging="426"/>
        <w:rPr>
          <w:color w:val="000000" w:themeColor="text1"/>
        </w:rPr>
      </w:pPr>
      <w:r>
        <w:rPr>
          <w:color w:val="000000" w:themeColor="text1"/>
        </w:rPr>
        <w:t xml:space="preserve">any risk that the perpetrator will cause significant harm to the victim if the DAPO is not made </w:t>
      </w:r>
      <w:proofErr w:type="gramStart"/>
      <w:r>
        <w:rPr>
          <w:color w:val="000000" w:themeColor="text1"/>
        </w:rPr>
        <w:t>immediately;</w:t>
      </w:r>
      <w:proofErr w:type="gramEnd"/>
    </w:p>
    <w:p w14:paraId="4328E396" w14:textId="77777777" w:rsidR="00AC3A48" w:rsidRDefault="00AC3A48" w:rsidP="00556A03">
      <w:pPr>
        <w:pStyle w:val="ListParagraph"/>
        <w:ind w:left="852" w:hanging="426"/>
        <w:rPr>
          <w:color w:val="000000" w:themeColor="text1"/>
        </w:rPr>
      </w:pPr>
    </w:p>
    <w:p w14:paraId="12AFC929" w14:textId="77777777" w:rsidR="00AC3A48" w:rsidRDefault="00AC3A48" w:rsidP="00556A03">
      <w:pPr>
        <w:pStyle w:val="ListParagraph"/>
        <w:numPr>
          <w:ilvl w:val="0"/>
          <w:numId w:val="29"/>
        </w:numPr>
        <w:spacing w:after="240" w:line="276" w:lineRule="auto"/>
        <w:ind w:left="852" w:hanging="426"/>
        <w:rPr>
          <w:color w:val="000000" w:themeColor="text1"/>
        </w:rPr>
      </w:pPr>
      <w:r>
        <w:rPr>
          <w:color w:val="000000" w:themeColor="text1"/>
        </w:rPr>
        <w:t xml:space="preserve">whether it is likely that the person who applied for the DAPO will be deterred or prevented from pursuing the application if the DAPO is not made </w:t>
      </w:r>
      <w:proofErr w:type="gramStart"/>
      <w:r>
        <w:rPr>
          <w:color w:val="000000" w:themeColor="text1"/>
        </w:rPr>
        <w:t>immediately;</w:t>
      </w:r>
      <w:proofErr w:type="gramEnd"/>
    </w:p>
    <w:p w14:paraId="7CC4F14C" w14:textId="77777777" w:rsidR="00AC3A48" w:rsidRDefault="00AC3A48" w:rsidP="00556A03">
      <w:pPr>
        <w:pStyle w:val="ListParagraph"/>
        <w:ind w:left="852" w:hanging="426"/>
        <w:rPr>
          <w:color w:val="000000" w:themeColor="text1"/>
        </w:rPr>
      </w:pPr>
    </w:p>
    <w:p w14:paraId="3DE08661" w14:textId="7D5187B3" w:rsidR="00AC3A48" w:rsidRPr="00252EAC" w:rsidRDefault="00AC3A48" w:rsidP="00556A03">
      <w:pPr>
        <w:pStyle w:val="ListParagraph"/>
        <w:numPr>
          <w:ilvl w:val="0"/>
          <w:numId w:val="29"/>
        </w:numPr>
        <w:spacing w:after="240" w:line="276" w:lineRule="auto"/>
        <w:ind w:left="852" w:hanging="426"/>
        <w:rPr>
          <w:color w:val="000000" w:themeColor="text1"/>
        </w:rPr>
      </w:pPr>
      <w:r>
        <w:rPr>
          <w:color w:val="000000" w:themeColor="text1"/>
        </w:rPr>
        <w:t>whether there is reason to believe that the perpetrator is aware of the proceedings but is deliberately evading service of notice of the hearing</w:t>
      </w:r>
      <w:r w:rsidR="00AA09B4">
        <w:rPr>
          <w:color w:val="000000" w:themeColor="text1"/>
        </w:rPr>
        <w:t>,</w:t>
      </w:r>
      <w:r>
        <w:rPr>
          <w:color w:val="000000" w:themeColor="text1"/>
        </w:rPr>
        <w:t xml:space="preserve"> and the delay involved in effecting substituted service of proceedings will cause serious prejudice to the person for whose protection the order would be made.</w:t>
      </w:r>
    </w:p>
    <w:p w14:paraId="70170658" w14:textId="30172722" w:rsidR="00AC3A48" w:rsidRPr="00B766A8" w:rsidRDefault="00AC3A48" w:rsidP="00B766A8">
      <w:pPr>
        <w:spacing w:after="240" w:line="276" w:lineRule="auto"/>
        <w:rPr>
          <w:color w:val="000000" w:themeColor="text1"/>
        </w:rPr>
      </w:pPr>
      <w:r w:rsidRPr="00252EAC">
        <w:rPr>
          <w:color w:val="000000" w:themeColor="text1"/>
        </w:rPr>
        <w:t>If a court makes a DAPO without notice against the perpetrator, the court must give the perpetrator the opportunity to make representations about the DAPO as soon as is “just and convenient”, at a hearing of which all parties have been given notice in accordance with the rules of court.</w:t>
      </w:r>
    </w:p>
    <w:p w14:paraId="64D2C4CB" w14:textId="0DA4565B" w:rsidR="00527F6A" w:rsidRPr="00EF2D50" w:rsidRDefault="00C04095" w:rsidP="00EF2D50">
      <w:pPr>
        <w:pStyle w:val="Heading1briefing"/>
      </w:pPr>
      <w:bookmarkStart w:id="14" w:name="_Toc181202766"/>
      <w:r w:rsidRPr="00EF2D50">
        <w:t xml:space="preserve">Prohibitions, </w:t>
      </w:r>
      <w:r w:rsidR="00EF2D50" w:rsidRPr="00EF2D50">
        <w:t>restrictions and positive requirements</w:t>
      </w:r>
      <w:bookmarkEnd w:id="14"/>
    </w:p>
    <w:p w14:paraId="04D495C3" w14:textId="77777777" w:rsidR="00527F6A" w:rsidRPr="001D79F3" w:rsidRDefault="00527F6A" w:rsidP="00900107">
      <w:pPr>
        <w:pStyle w:val="Heading2"/>
        <w:rPr>
          <w:rFonts w:ascii="Arial" w:hAnsi="Arial" w:cs="Arial"/>
          <w:color w:val="7030A0"/>
          <w:sz w:val="28"/>
          <w:szCs w:val="28"/>
        </w:rPr>
      </w:pPr>
      <w:bookmarkStart w:id="15" w:name="_Toc153264639"/>
      <w:bookmarkStart w:id="16" w:name="_Toc181202767"/>
      <w:r w:rsidRPr="001D79F3">
        <w:rPr>
          <w:rFonts w:ascii="Arial" w:hAnsi="Arial" w:cs="Arial"/>
          <w:color w:val="7030A0"/>
          <w:sz w:val="28"/>
          <w:szCs w:val="28"/>
        </w:rPr>
        <w:t>Key provisions</w:t>
      </w:r>
      <w:bookmarkEnd w:id="15"/>
      <w:bookmarkEnd w:id="16"/>
    </w:p>
    <w:p w14:paraId="6A821089" w14:textId="03A18555" w:rsidR="00527F6A" w:rsidRPr="00556A03" w:rsidRDefault="00527F6A" w:rsidP="00556A03">
      <w:pPr>
        <w:spacing w:after="240" w:line="276" w:lineRule="auto"/>
        <w:rPr>
          <w:color w:val="8F23B3"/>
        </w:rPr>
      </w:pPr>
      <w:r>
        <w:t xml:space="preserve">The </w:t>
      </w:r>
      <w:r w:rsidRPr="00332240">
        <w:t xml:space="preserve">court </w:t>
      </w:r>
      <w:r>
        <w:t>must</w:t>
      </w:r>
      <w:r w:rsidRPr="00332240">
        <w:t xml:space="preserve"> consider what requirements (if any) are </w:t>
      </w:r>
      <w:r w:rsidRPr="00556A03">
        <w:rPr>
          <w:b/>
          <w:bCs/>
        </w:rPr>
        <w:t xml:space="preserve">necessary </w:t>
      </w:r>
      <w:r w:rsidRPr="00332240">
        <w:t>to protect the person from the abusive behaviour</w:t>
      </w:r>
      <w:r>
        <w:t xml:space="preserve"> </w:t>
      </w:r>
      <w:hyperlink r:id="rId21">
        <w:r>
          <w:rPr>
            <w:rStyle w:val="Hyperlink"/>
          </w:rPr>
          <w:t>(S</w:t>
        </w:r>
        <w:r w:rsidRPr="00332240">
          <w:rPr>
            <w:rStyle w:val="Hyperlink"/>
          </w:rPr>
          <w:t>ection 35(2)</w:t>
        </w:r>
        <w:r>
          <w:rPr>
            <w:rStyle w:val="Hyperlink"/>
          </w:rPr>
          <w:t>)</w:t>
        </w:r>
      </w:hyperlink>
      <w:r w:rsidRPr="00332240">
        <w:t xml:space="preserve">. The provisions sought by the police in their DAPO applications are expected to reflect this. The perpetrator’s abusive behaviour may take any of the forms set out in the definition of </w:t>
      </w:r>
      <w:r w:rsidRPr="00556A03">
        <w:rPr>
          <w:rFonts w:eastAsiaTheme="minorEastAsia"/>
          <w:color w:val="000000" w:themeColor="text1"/>
        </w:rPr>
        <w:t>domestic abuse</w:t>
      </w:r>
      <w:r w:rsidRPr="00332240">
        <w:t xml:space="preserve"> in </w:t>
      </w:r>
      <w:hyperlink r:id="rId22">
        <w:r>
          <w:rPr>
            <w:rStyle w:val="Hyperlink"/>
          </w:rPr>
          <w:t>S</w:t>
        </w:r>
        <w:r w:rsidRPr="00332240">
          <w:rPr>
            <w:rStyle w:val="Hyperlink"/>
          </w:rPr>
          <w:t xml:space="preserve">ection 1 of the </w:t>
        </w:r>
        <w:r>
          <w:rPr>
            <w:rStyle w:val="Hyperlink"/>
          </w:rPr>
          <w:t>DA Act 2021</w:t>
        </w:r>
      </w:hyperlink>
      <w:r w:rsidRPr="00332240">
        <w:t xml:space="preserve">, or any combination of them. </w:t>
      </w:r>
    </w:p>
    <w:p w14:paraId="040897C6" w14:textId="6BFA62BD" w:rsidR="00527F6A" w:rsidRPr="00556A03" w:rsidRDefault="00527F6A" w:rsidP="00556A03">
      <w:pPr>
        <w:spacing w:after="240" w:line="276" w:lineRule="auto"/>
        <w:rPr>
          <w:color w:val="8F23B3"/>
        </w:rPr>
      </w:pPr>
      <w:r>
        <w:t xml:space="preserve">A </w:t>
      </w:r>
      <w:r w:rsidRPr="00332240">
        <w:t>court may impose provisions in the DAPO which it deems necessary</w:t>
      </w:r>
      <w:bookmarkStart w:id="17" w:name="_Hlk152244814"/>
      <w:r w:rsidRPr="00332240">
        <w:t xml:space="preserve"> to </w:t>
      </w:r>
      <w:bookmarkEnd w:id="17"/>
      <w:r w:rsidRPr="00332240">
        <w:t>protect the person for whom the protection order is made. These provisions include</w:t>
      </w:r>
      <w:r w:rsidRPr="00556A03">
        <w:rPr>
          <w:b/>
        </w:rPr>
        <w:t xml:space="preserve"> prohibitions</w:t>
      </w:r>
      <w:r w:rsidRPr="00556A03">
        <w:rPr>
          <w:b/>
          <w:bCs/>
        </w:rPr>
        <w:t>, restrictions or positive requirements</w:t>
      </w:r>
      <w:r w:rsidRPr="00332240">
        <w:t>.</w:t>
      </w:r>
    </w:p>
    <w:p w14:paraId="6F80F1B1" w14:textId="6B228090" w:rsidR="00527F6A" w:rsidRPr="00556A03" w:rsidRDefault="00527F6A" w:rsidP="00556A03">
      <w:pPr>
        <w:spacing w:after="240" w:line="276" w:lineRule="auto"/>
        <w:rPr>
          <w:color w:val="8F23B3"/>
        </w:rPr>
      </w:pPr>
      <w:r w:rsidRPr="00332240">
        <w:t xml:space="preserve">The conditions of prohibitions/restrictions or positive requirements can be tailored to protect the </w:t>
      </w:r>
      <w:r>
        <w:t>victim</w:t>
      </w:r>
      <w:r w:rsidRPr="00332240">
        <w:t xml:space="preserve"> and address the perpetrator’s abusive behaviour based on each case. The application for a DAPO must effectively set out the conditions the</w:t>
      </w:r>
      <w:r w:rsidR="00AE1357">
        <w:t xml:space="preserve"> </w:t>
      </w:r>
      <w:r w:rsidR="00AE1357">
        <w:lastRenderedPageBreak/>
        <w:t>applicant</w:t>
      </w:r>
      <w:r w:rsidRPr="00332240">
        <w:t xml:space="preserve"> deem</w:t>
      </w:r>
      <w:r w:rsidR="00AE1357">
        <w:t>s</w:t>
      </w:r>
      <w:r w:rsidRPr="00332240">
        <w:t xml:space="preserve"> necessary to protect the person from </w:t>
      </w:r>
      <w:r w:rsidRPr="00556A03">
        <w:rPr>
          <w:rFonts w:eastAsiaTheme="minorEastAsia"/>
          <w:color w:val="000000" w:themeColor="text1"/>
        </w:rPr>
        <w:t>domestic abuse,</w:t>
      </w:r>
      <w:r w:rsidRPr="00332240">
        <w:t xml:space="preserve"> or the risk of </w:t>
      </w:r>
      <w:r w:rsidRPr="00556A03">
        <w:rPr>
          <w:rFonts w:eastAsiaTheme="minorEastAsia"/>
          <w:color w:val="000000" w:themeColor="text1"/>
        </w:rPr>
        <w:t>domestic abuse,</w:t>
      </w:r>
      <w:r w:rsidRPr="00332240">
        <w:t xml:space="preserve"> by the perpetrator.</w:t>
      </w:r>
    </w:p>
    <w:p w14:paraId="2EC2A1D8" w14:textId="15D29748" w:rsidR="00527F6A" w:rsidRDefault="00527F6A" w:rsidP="00556A03">
      <w:pPr>
        <w:spacing w:after="240" w:line="276" w:lineRule="auto"/>
      </w:pPr>
      <w:r w:rsidRPr="00556A03">
        <w:rPr>
          <w:b/>
          <w:bCs/>
        </w:rPr>
        <w:t>Prohibitions</w:t>
      </w:r>
      <w:r w:rsidR="007F3D9D">
        <w:rPr>
          <w:b/>
          <w:bCs/>
        </w:rPr>
        <w:t xml:space="preserve"> and restrictions</w:t>
      </w:r>
      <w:r w:rsidRPr="00556A03">
        <w:rPr>
          <w:b/>
          <w:bCs/>
        </w:rPr>
        <w:t xml:space="preserve"> </w:t>
      </w:r>
      <w:r w:rsidR="00016DB7" w:rsidRPr="005249C9">
        <w:t>include</w:t>
      </w:r>
      <w:r w:rsidRPr="005249C9">
        <w:t xml:space="preserve"> requirements</w:t>
      </w:r>
      <w:r w:rsidR="00016DB7" w:rsidRPr="005249C9">
        <w:t xml:space="preserve"> such as prohi</w:t>
      </w:r>
      <w:r w:rsidR="008F5BB3" w:rsidRPr="005249C9">
        <w:t>bition of contact, exclusion zones</w:t>
      </w:r>
      <w:r w:rsidR="00C1613D" w:rsidRPr="005249C9">
        <w:t xml:space="preserve"> and requiring the</w:t>
      </w:r>
      <w:r w:rsidR="00C26974" w:rsidRPr="005249C9">
        <w:t xml:space="preserve"> perpetrator to leave the premises</w:t>
      </w:r>
      <w:r w:rsidR="00511110">
        <w:t xml:space="preserve">. </w:t>
      </w:r>
      <w:hyperlink r:id="rId23" w:history="1">
        <w:r w:rsidR="0020398D" w:rsidRPr="00AF68C7">
          <w:rPr>
            <w:rStyle w:val="Hyperlink"/>
          </w:rPr>
          <w:t>Section 35</w:t>
        </w:r>
      </w:hyperlink>
      <w:r w:rsidR="0020398D">
        <w:t xml:space="preserve"> provides a non-exhaustive list of </w:t>
      </w:r>
      <w:r w:rsidR="00DE1E71">
        <w:t>examples of those requirements.</w:t>
      </w:r>
    </w:p>
    <w:p w14:paraId="0C35FF9E" w14:textId="76CBC827" w:rsidR="00294E2D" w:rsidRPr="00C26974" w:rsidRDefault="00294E2D" w:rsidP="00556A03">
      <w:pPr>
        <w:spacing w:after="240" w:line="276" w:lineRule="auto"/>
      </w:pPr>
      <w:r w:rsidRPr="00556A03">
        <w:rPr>
          <w:b/>
          <w:bCs/>
        </w:rPr>
        <w:t>Positive requirements require the perpetrator to take actions that must be monitored by a responsible person</w:t>
      </w:r>
      <w:r>
        <w:t>. This</w:t>
      </w:r>
      <w:r w:rsidRPr="00332240">
        <w:t xml:space="preserve"> principally </w:t>
      </w:r>
      <w:r>
        <w:t xml:space="preserve">relates to referrals for mandatory </w:t>
      </w:r>
      <w:r w:rsidRPr="00332240">
        <w:t>attendance onto a programme e.g.</w:t>
      </w:r>
      <w:r>
        <w:t>,</w:t>
      </w:r>
      <w:r w:rsidRPr="00332240">
        <w:t xml:space="preserve"> behaviour change programme, drug or alcohol</w:t>
      </w:r>
      <w:r>
        <w:t xml:space="preserve"> misuse</w:t>
      </w:r>
      <w:r w:rsidRPr="00332240">
        <w:t xml:space="preserve"> programme</w:t>
      </w:r>
      <w:r>
        <w:t>.</w:t>
      </w:r>
    </w:p>
    <w:p w14:paraId="33395AC6" w14:textId="77777777" w:rsidR="00527F6A" w:rsidRPr="00332240" w:rsidRDefault="00527F6A" w:rsidP="00556A03">
      <w:pPr>
        <w:spacing w:after="200" w:line="276" w:lineRule="auto"/>
      </w:pPr>
      <w:r>
        <w:t>T</w:t>
      </w:r>
      <w:r w:rsidRPr="00332240">
        <w:t xml:space="preserve">he requirements of a DAPO must, </w:t>
      </w:r>
      <w:r w:rsidRPr="00556A03">
        <w:rPr>
          <w:b/>
          <w:bCs/>
        </w:rPr>
        <w:t>so far as practicable</w:t>
      </w:r>
      <w:r w:rsidRPr="00332240">
        <w:t>, avoid conflict with the perpetrator’s religious beliefs, the perpetrator’s work or education, or the requirements of any other court order which the perpetrator is subject to. However, if it is not practicable to avoid the conflict, then the court may still impose the requirement</w:t>
      </w:r>
      <w:r>
        <w:t xml:space="preserve"> </w:t>
      </w:r>
      <w:hyperlink r:id="rId24">
        <w:r>
          <w:rPr>
            <w:rStyle w:val="Hyperlink"/>
          </w:rPr>
          <w:t>(S</w:t>
        </w:r>
        <w:r w:rsidRPr="00332240">
          <w:rPr>
            <w:rStyle w:val="Hyperlink"/>
          </w:rPr>
          <w:t>ection 36(1)</w:t>
        </w:r>
        <w:r>
          <w:rPr>
            <w:rStyle w:val="Hyperlink"/>
          </w:rPr>
          <w:t>)</w:t>
        </w:r>
      </w:hyperlink>
      <w:r w:rsidRPr="00332240">
        <w:t>.</w:t>
      </w:r>
    </w:p>
    <w:p w14:paraId="7EF6D0AF" w14:textId="678E9409" w:rsidR="00527F6A" w:rsidRPr="00332240" w:rsidRDefault="00527F6A" w:rsidP="00556A03">
      <w:pPr>
        <w:spacing w:after="200" w:line="276" w:lineRule="auto"/>
      </w:pPr>
      <w:r>
        <w:t>A</w:t>
      </w:r>
      <w:r w:rsidRPr="00332240">
        <w:t xml:space="preserve"> DAPO has effect for a fixed period specified in the order, until the occurrence of a specified event, or until a further order is made</w:t>
      </w:r>
      <w:r>
        <w:t xml:space="preserve"> </w:t>
      </w:r>
      <w:hyperlink r:id="rId25">
        <w:r>
          <w:rPr>
            <w:rStyle w:val="Hyperlink"/>
          </w:rPr>
          <w:t>(S</w:t>
        </w:r>
        <w:r w:rsidRPr="00332240">
          <w:rPr>
            <w:rStyle w:val="Hyperlink"/>
          </w:rPr>
          <w:t>ection 38</w:t>
        </w:r>
        <w:r>
          <w:rPr>
            <w:rStyle w:val="Hyperlink"/>
          </w:rPr>
          <w:t>)</w:t>
        </w:r>
      </w:hyperlink>
      <w:r w:rsidRPr="00332240">
        <w:t xml:space="preserve">. </w:t>
      </w:r>
      <w:r w:rsidRPr="00556A03">
        <w:rPr>
          <w:b/>
          <w:bCs/>
        </w:rPr>
        <w:t>Different durations may be specified in relation to different requirements of a DAPO.</w:t>
      </w:r>
      <w:r w:rsidRPr="00332240">
        <w:t xml:space="preserve"> Whilst it is the court who have final say over the period for which an order and its individual requirements apply, </w:t>
      </w:r>
      <w:r w:rsidR="007E187A">
        <w:t>practitioners can</w:t>
      </w:r>
      <w:r w:rsidRPr="00332240">
        <w:t xml:space="preserve"> make recommendations in respect of the duration of any DAPO requirements.</w:t>
      </w:r>
    </w:p>
    <w:p w14:paraId="607EFCF4" w14:textId="27C62BB4" w:rsidR="00527F6A" w:rsidRPr="00332240" w:rsidRDefault="00527F6A" w:rsidP="00556A03">
      <w:pPr>
        <w:spacing w:after="200" w:line="276" w:lineRule="auto"/>
      </w:pPr>
      <w:r w:rsidRPr="00332240">
        <w:t>If the perpetrator is already subject to another DAPO, the court may specify that the new DAPO will take effect on the previous DAPO ceasing to have effect</w:t>
      </w:r>
      <w:r>
        <w:t xml:space="preserve"> </w:t>
      </w:r>
      <w:hyperlink r:id="rId26" w:history="1">
        <w:r>
          <w:rPr>
            <w:rStyle w:val="Hyperlink"/>
          </w:rPr>
          <w:t>(S</w:t>
        </w:r>
        <w:r w:rsidRPr="00332240">
          <w:rPr>
            <w:rStyle w:val="Hyperlink"/>
          </w:rPr>
          <w:t>ection 38(2)</w:t>
        </w:r>
        <w:r>
          <w:rPr>
            <w:rStyle w:val="Hyperlink"/>
          </w:rPr>
          <w:t>)</w:t>
        </w:r>
      </w:hyperlink>
      <w:r w:rsidRPr="00332240">
        <w:t xml:space="preserve">. However, where the perpetrator is subject to another protective order, such as a </w:t>
      </w:r>
      <w:r>
        <w:t>N</w:t>
      </w:r>
      <w:r w:rsidRPr="00332240">
        <w:t>on-</w:t>
      </w:r>
      <w:r>
        <w:t>M</w:t>
      </w:r>
      <w:r w:rsidRPr="00332240">
        <w:t xml:space="preserve">olestation </w:t>
      </w:r>
      <w:r>
        <w:t>O</w:t>
      </w:r>
      <w:r w:rsidRPr="00332240">
        <w:t>rder, a DAPO can still be made providing the conditions of each order do not conflict</w:t>
      </w:r>
      <w:r w:rsidR="00F34831">
        <w:t>, as far as the court is aware</w:t>
      </w:r>
      <w:r w:rsidRPr="00332240">
        <w:t>.</w:t>
      </w:r>
    </w:p>
    <w:p w14:paraId="5DA7CF26" w14:textId="77777777" w:rsidR="00527F6A" w:rsidRPr="00332240" w:rsidRDefault="00527F6A" w:rsidP="00556A03">
      <w:pPr>
        <w:spacing w:after="200" w:line="276" w:lineRule="auto"/>
      </w:pPr>
      <w:r w:rsidRPr="00332240">
        <w:t xml:space="preserve">A requirement imposed by a DAPO during the pilot has effect in all parts of the United Kingdom unless expressly limited to a particular locality </w:t>
      </w:r>
      <w:hyperlink r:id="rId27" w:history="1">
        <w:r>
          <w:rPr>
            <w:rStyle w:val="Hyperlink"/>
          </w:rPr>
          <w:t>(S</w:t>
        </w:r>
        <w:r w:rsidRPr="00332240">
          <w:rPr>
            <w:rStyle w:val="Hyperlink"/>
          </w:rPr>
          <w:t>ection 38(</w:t>
        </w:r>
        <w:r>
          <w:rPr>
            <w:rStyle w:val="Hyperlink"/>
          </w:rPr>
          <w:t>7</w:t>
        </w:r>
        <w:r w:rsidRPr="00332240">
          <w:rPr>
            <w:rStyle w:val="Hyperlink"/>
          </w:rPr>
          <w:t>)</w:t>
        </w:r>
        <w:r>
          <w:rPr>
            <w:rStyle w:val="Hyperlink"/>
          </w:rPr>
          <w:t>)</w:t>
        </w:r>
      </w:hyperlink>
      <w:r w:rsidRPr="00332240">
        <w:t>.</w:t>
      </w:r>
    </w:p>
    <w:p w14:paraId="09C2DC8C" w14:textId="77777777" w:rsidR="00527F6A" w:rsidRPr="00931973" w:rsidRDefault="00527F6A" w:rsidP="00900107">
      <w:pPr>
        <w:pStyle w:val="Heading2"/>
        <w:rPr>
          <w:rFonts w:ascii="Arial" w:hAnsi="Arial" w:cs="Arial"/>
          <w:color w:val="7030A0"/>
          <w:sz w:val="28"/>
          <w:szCs w:val="28"/>
        </w:rPr>
      </w:pPr>
      <w:bookmarkStart w:id="18" w:name="_Toc153264640"/>
      <w:bookmarkStart w:id="19" w:name="_Toc181202768"/>
      <w:r w:rsidRPr="00931973">
        <w:rPr>
          <w:rFonts w:ascii="Arial" w:hAnsi="Arial" w:cs="Arial"/>
          <w:color w:val="7030A0"/>
          <w:sz w:val="28"/>
          <w:szCs w:val="28"/>
        </w:rPr>
        <w:t>Prohibitions</w:t>
      </w:r>
      <w:bookmarkEnd w:id="18"/>
      <w:bookmarkEnd w:id="19"/>
    </w:p>
    <w:p w14:paraId="13939505" w14:textId="77777777" w:rsidR="00527F6A" w:rsidRPr="00E30A8C" w:rsidRDefault="00527F6A" w:rsidP="00556A03">
      <w:pPr>
        <w:pStyle w:val="BodyText"/>
        <w:spacing w:line="276" w:lineRule="auto"/>
        <w:rPr>
          <w:b/>
          <w:color w:val="8F23B3"/>
        </w:rPr>
      </w:pPr>
      <w:r w:rsidRPr="00332240">
        <w:t>DAPO may impose</w:t>
      </w:r>
      <w:r>
        <w:t xml:space="preserve"> a range of requirements </w:t>
      </w:r>
      <w:hyperlink r:id="rId28" w:history="1">
        <w:r>
          <w:rPr>
            <w:rStyle w:val="Hyperlink"/>
          </w:rPr>
          <w:t>(S</w:t>
        </w:r>
        <w:r w:rsidRPr="00332240">
          <w:rPr>
            <w:rStyle w:val="Hyperlink"/>
          </w:rPr>
          <w:t>ections 35(4) to (6)</w:t>
        </w:r>
        <w:r>
          <w:rPr>
            <w:rStyle w:val="Hyperlink"/>
          </w:rPr>
          <w:t>)</w:t>
        </w:r>
      </w:hyperlink>
      <w:r w:rsidRPr="00332240">
        <w:t>, such as:</w:t>
      </w:r>
    </w:p>
    <w:p w14:paraId="1FC89019" w14:textId="77777777" w:rsidR="00527F6A" w:rsidRPr="008D18F7" w:rsidRDefault="00527F6A" w:rsidP="00CD3F30">
      <w:pPr>
        <w:pStyle w:val="NoSpacing"/>
        <w:numPr>
          <w:ilvl w:val="0"/>
          <w:numId w:val="13"/>
        </w:numPr>
        <w:spacing w:after="240" w:line="276" w:lineRule="auto"/>
        <w:ind w:left="1560" w:hanging="426"/>
      </w:pPr>
      <w:r w:rsidRPr="00332240">
        <w:t xml:space="preserve">prohibiting the perpetrator from contacting the </w:t>
      </w:r>
      <w:r>
        <w:t>victim</w:t>
      </w:r>
      <w:r w:rsidRPr="00332240">
        <w:t xml:space="preserve"> (this requirement captures contact by any means, including via telephone, post, email, SMS text message or social media</w:t>
      </w:r>
      <w:proofErr w:type="gramStart"/>
      <w:r w:rsidRPr="00332240">
        <w:t>);</w:t>
      </w:r>
      <w:proofErr w:type="gramEnd"/>
      <w:r w:rsidRPr="00332240">
        <w:t xml:space="preserve"> </w:t>
      </w:r>
    </w:p>
    <w:p w14:paraId="6C4CDA28" w14:textId="450F1263" w:rsidR="00527F6A" w:rsidRPr="00332240" w:rsidRDefault="00527F6A" w:rsidP="00CD3F30">
      <w:pPr>
        <w:pStyle w:val="NoSpacing"/>
        <w:numPr>
          <w:ilvl w:val="0"/>
          <w:numId w:val="13"/>
        </w:numPr>
        <w:spacing w:after="240" w:line="276" w:lineRule="auto"/>
        <w:ind w:left="1560" w:hanging="426"/>
      </w:pPr>
      <w:r w:rsidRPr="00332240">
        <w:t>prohibiting the perpetrator from coming within a specified distance of any premises in England and Wales wh</w:t>
      </w:r>
      <w:r w:rsidR="00892EF6">
        <w:t>ere</w:t>
      </w:r>
      <w:r w:rsidRPr="00332240">
        <w:t xml:space="preserve"> the </w:t>
      </w:r>
      <w:r>
        <w:t>victim</w:t>
      </w:r>
      <w:r w:rsidRPr="00332240">
        <w:t xml:space="preserve"> is living. A DAPO may also prohibit the perpetrator from coming within specified distance of any premises specified by the court, or any other premises of a specified description. This will include, for example, any place </w:t>
      </w:r>
      <w:r w:rsidRPr="00332240">
        <w:lastRenderedPageBreak/>
        <w:t xml:space="preserve">where the </w:t>
      </w:r>
      <w:r>
        <w:t>victim</w:t>
      </w:r>
      <w:r w:rsidRPr="00332240">
        <w:t xml:space="preserve"> may commonly be found, such as the </w:t>
      </w:r>
      <w:r>
        <w:t>victim</w:t>
      </w:r>
      <w:r w:rsidRPr="00332240">
        <w:t>’s place of work, place of worship, or their children’s school.</w:t>
      </w:r>
    </w:p>
    <w:p w14:paraId="5B5A30E2" w14:textId="77777777" w:rsidR="00527F6A" w:rsidRPr="00393F36" w:rsidRDefault="00527F6A" w:rsidP="00CD3F30">
      <w:pPr>
        <w:pStyle w:val="ListBullet"/>
        <w:numPr>
          <w:ilvl w:val="0"/>
          <w:numId w:val="13"/>
        </w:numPr>
        <w:spacing w:line="276" w:lineRule="auto"/>
        <w:ind w:left="1560" w:hanging="426"/>
      </w:pPr>
      <w:r w:rsidRPr="00332240">
        <w:t xml:space="preserve">where the </w:t>
      </w:r>
      <w:r>
        <w:t>victim</w:t>
      </w:r>
      <w:r w:rsidRPr="00332240">
        <w:t xml:space="preserve"> and the perpetrator live in the same premises, prohibiting the perpetrator from evicting or excluding the </w:t>
      </w:r>
      <w:r>
        <w:t>victim</w:t>
      </w:r>
      <w:r w:rsidRPr="00332240">
        <w:t xml:space="preserve"> from those premises, prohibiting the perpetrator from entering those premises, or requiring the perpetrator to leave those premises </w:t>
      </w:r>
      <w:hyperlink r:id="rId29" w:history="1">
        <w:r w:rsidRPr="00295912">
          <w:rPr>
            <w:rStyle w:val="Hyperlink"/>
          </w:rPr>
          <w:t>(section 35(5))</w:t>
        </w:r>
      </w:hyperlink>
      <w:r w:rsidRPr="00332240">
        <w:t>. This provision may be made irrespective of who owns or rents the premises.</w:t>
      </w:r>
    </w:p>
    <w:p w14:paraId="2E122DC9" w14:textId="745A7E7C" w:rsidR="00527F6A" w:rsidRPr="00D6222C" w:rsidRDefault="009F7EE9" w:rsidP="00D6222C">
      <w:pPr>
        <w:spacing w:after="200" w:line="276" w:lineRule="auto"/>
      </w:pPr>
      <w:r>
        <w:t>An applicant</w:t>
      </w:r>
      <w:r w:rsidR="00527F6A" w:rsidRPr="00332240">
        <w:t xml:space="preserve"> may seek, and the court may subsequently impose, </w:t>
      </w:r>
      <w:r w:rsidR="00527F6A" w:rsidRPr="00D6222C">
        <w:t>any</w:t>
      </w:r>
      <w:r w:rsidR="00527F6A" w:rsidRPr="00332240">
        <w:t xml:space="preserve"> requirements which are considered necessary to protect the person from </w:t>
      </w:r>
      <w:r w:rsidR="00527F6A" w:rsidRPr="00D6222C">
        <w:t>domestic abuse</w:t>
      </w:r>
      <w:r w:rsidR="00527F6A" w:rsidRPr="00332240">
        <w:t xml:space="preserve">, or the risk of </w:t>
      </w:r>
      <w:r w:rsidR="00527F6A" w:rsidRPr="00D6222C">
        <w:t>domestic abuse</w:t>
      </w:r>
      <w:r w:rsidR="00527F6A" w:rsidRPr="00332240">
        <w:t xml:space="preserve"> by the perpetrator.</w:t>
      </w:r>
      <w:r w:rsidR="00527F6A" w:rsidRPr="00D6222C">
        <w:t xml:space="preserve"> The examples given in the DA Act 2021 are not exhaustive.</w:t>
      </w:r>
    </w:p>
    <w:p w14:paraId="0A735024" w14:textId="27832D85" w:rsidR="00527F6A" w:rsidRDefault="00527F6A" w:rsidP="00D6222C">
      <w:pPr>
        <w:pStyle w:val="BoxedBullet"/>
        <w:numPr>
          <w:ilvl w:val="0"/>
          <w:numId w:val="0"/>
        </w:numPr>
        <w:pBdr>
          <w:top w:val="single" w:sz="8" w:space="5" w:color="8F23B3"/>
        </w:pBdr>
      </w:pPr>
      <w:r>
        <w:t xml:space="preserve">For example, </w:t>
      </w:r>
      <w:r w:rsidR="007130BE">
        <w:t>an applicant can</w:t>
      </w:r>
      <w:r>
        <w:t xml:space="preserve"> also seek provisions to address abusive behaviour such as:</w:t>
      </w:r>
    </w:p>
    <w:p w14:paraId="04D61992" w14:textId="77777777" w:rsidR="00527F6A" w:rsidRDefault="00527F6A" w:rsidP="00D6222C">
      <w:pPr>
        <w:pStyle w:val="BoxedBullet"/>
        <w:numPr>
          <w:ilvl w:val="0"/>
          <w:numId w:val="14"/>
        </w:numPr>
        <w:pBdr>
          <w:top w:val="single" w:sz="8" w:space="5" w:color="8F23B3"/>
        </w:pBdr>
        <w:tabs>
          <w:tab w:val="clear" w:pos="1523"/>
          <w:tab w:val="num" w:pos="454"/>
        </w:tabs>
        <w:ind w:left="454"/>
      </w:pPr>
      <w:bookmarkStart w:id="20" w:name="_Hlk19093852"/>
      <w:r>
        <w:t>Contacting or interacting with the victim via third parties. For example, the children, partner, other family members, friends</w:t>
      </w:r>
      <w:bookmarkEnd w:id="20"/>
      <w:r>
        <w:t xml:space="preserve"> or co-workers of the </w:t>
      </w:r>
      <w:proofErr w:type="gramStart"/>
      <w:r>
        <w:t>victim;</w:t>
      </w:r>
      <w:proofErr w:type="gramEnd"/>
    </w:p>
    <w:p w14:paraId="249FBB20"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Hacking, monitoring or controlling the social media accounts, email, phone, computer, or other personal devices of the </w:t>
      </w:r>
      <w:proofErr w:type="gramStart"/>
      <w:r>
        <w:t>victim;</w:t>
      </w:r>
      <w:proofErr w:type="gramEnd"/>
    </w:p>
    <w:p w14:paraId="1EDA803C"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Engaging in any form of surveillance of the victim by any </w:t>
      </w:r>
      <w:proofErr w:type="gramStart"/>
      <w:r>
        <w:t>means;</w:t>
      </w:r>
      <w:proofErr w:type="gramEnd"/>
    </w:p>
    <w:p w14:paraId="3F764DD2"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rsidRPr="002E5742">
        <w:t xml:space="preserve">Interfering with or restricting the </w:t>
      </w:r>
      <w:r>
        <w:t>victim</w:t>
      </w:r>
      <w:r w:rsidRPr="002E5742">
        <w:t xml:space="preserve">’s access to goods, services or </w:t>
      </w:r>
      <w:proofErr w:type="gramStart"/>
      <w:r w:rsidRPr="002E5742">
        <w:t>propert</w:t>
      </w:r>
      <w:r>
        <w:t>y;</w:t>
      </w:r>
      <w:proofErr w:type="gramEnd"/>
    </w:p>
    <w:p w14:paraId="38944AD4"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Damaging or threatening to damage property belonging to the </w:t>
      </w:r>
      <w:proofErr w:type="gramStart"/>
      <w:r>
        <w:t>victim;</w:t>
      </w:r>
      <w:proofErr w:type="gramEnd"/>
    </w:p>
    <w:p w14:paraId="2C07832E"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Cancelling or procuring goods or services in the name or account of the victim, or intentionally running up bills or debts in the name of the victim (with or without the knowledge of the victim</w:t>
      </w:r>
      <w:proofErr w:type="gramStart"/>
      <w:r>
        <w:t>);</w:t>
      </w:r>
      <w:proofErr w:type="gramEnd"/>
    </w:p>
    <w:p w14:paraId="37403F39"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Interfering with, restricting the victim’s access to, or deliberately frustrating the disposal of joint </w:t>
      </w:r>
      <w:proofErr w:type="gramStart"/>
      <w:r>
        <w:t>assets;</w:t>
      </w:r>
      <w:proofErr w:type="gramEnd"/>
    </w:p>
    <w:p w14:paraId="36C63A6F"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r>
        <w:t xml:space="preserve">Sharing or publishing, or threatening to share or publish, personal information or images relating to the </w:t>
      </w:r>
      <w:proofErr w:type="gramStart"/>
      <w:r>
        <w:t>victim;</w:t>
      </w:r>
      <w:proofErr w:type="gramEnd"/>
    </w:p>
    <w:p w14:paraId="6DBC8E29"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r>
        <w:t xml:space="preserve">Creating manipulated or synthetic material online relating to the </w:t>
      </w:r>
      <w:proofErr w:type="gramStart"/>
      <w:r>
        <w:t>victim;</w:t>
      </w:r>
      <w:proofErr w:type="gramEnd"/>
    </w:p>
    <w:p w14:paraId="75A6B2ED"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proofErr w:type="gramStart"/>
      <w:r>
        <w:t>Making reference</w:t>
      </w:r>
      <w:proofErr w:type="gramEnd"/>
      <w:r>
        <w:t xml:space="preserve"> to the victim on social media either directly or indirectly.</w:t>
      </w:r>
    </w:p>
    <w:p w14:paraId="172B2E01" w14:textId="77777777" w:rsidR="00527F6A" w:rsidRPr="00AB03BF" w:rsidRDefault="00527F6A" w:rsidP="00D6222C">
      <w:pPr>
        <w:pStyle w:val="BoxedBullet"/>
        <w:numPr>
          <w:ilvl w:val="0"/>
          <w:numId w:val="0"/>
        </w:numPr>
        <w:pBdr>
          <w:top w:val="single" w:sz="8" w:space="5" w:color="8F23B3"/>
        </w:pBdr>
        <w:spacing w:line="276" w:lineRule="auto"/>
        <w:rPr>
          <w:i/>
        </w:rPr>
      </w:pPr>
      <w:r w:rsidRPr="00AB03BF">
        <w:rPr>
          <w:i/>
        </w:rPr>
        <w:t>This list is not exhaustive.</w:t>
      </w:r>
      <w:r>
        <w:rPr>
          <w:i/>
        </w:rPr>
        <w:t xml:space="preserve"> </w:t>
      </w:r>
    </w:p>
    <w:p w14:paraId="6E90923C" w14:textId="77777777" w:rsidR="00527F6A" w:rsidRPr="00931973" w:rsidRDefault="00527F6A" w:rsidP="00900107">
      <w:pPr>
        <w:pStyle w:val="Heading2"/>
        <w:rPr>
          <w:rFonts w:ascii="Arial" w:hAnsi="Arial" w:cs="Arial"/>
          <w:color w:val="7030A0"/>
          <w:sz w:val="28"/>
          <w:szCs w:val="28"/>
        </w:rPr>
      </w:pPr>
      <w:bookmarkStart w:id="21" w:name="_Toc153264641"/>
      <w:bookmarkStart w:id="22" w:name="_Toc181202769"/>
      <w:r w:rsidRPr="00931973">
        <w:rPr>
          <w:rFonts w:ascii="Arial" w:hAnsi="Arial" w:cs="Arial"/>
          <w:color w:val="7030A0"/>
          <w:sz w:val="28"/>
          <w:szCs w:val="28"/>
        </w:rPr>
        <w:lastRenderedPageBreak/>
        <w:t>Positive requirements and the responsible person</w:t>
      </w:r>
      <w:bookmarkEnd w:id="21"/>
      <w:bookmarkEnd w:id="22"/>
    </w:p>
    <w:p w14:paraId="3B46F8A4" w14:textId="08B55E5B" w:rsidR="00527F6A" w:rsidRPr="00992EAF" w:rsidRDefault="00527F6A" w:rsidP="00D6222C">
      <w:pPr>
        <w:pStyle w:val="BodyText"/>
        <w:spacing w:line="276" w:lineRule="auto"/>
        <w:rPr>
          <w:b/>
          <w:color w:val="8F23B3"/>
          <w:sz w:val="32"/>
          <w:szCs w:val="32"/>
        </w:rPr>
      </w:pPr>
      <w:r>
        <w:t xml:space="preserve">A DAPO can impose positive requirements, mandating a perpetrator to take an action. Alongside seeking prohibitions in relation to certain kinds of abusive behaviour in their application for a DAPO, </w:t>
      </w:r>
      <w:r w:rsidR="00EB3274">
        <w:t>an applicant</w:t>
      </w:r>
      <w:r>
        <w:t xml:space="preserve"> may also wish to consider whether any positive requirements may be necessary to reduce the risk posed to the victim. </w:t>
      </w:r>
    </w:p>
    <w:p w14:paraId="3F54DCEA" w14:textId="6E84CAC6" w:rsidR="00670A53" w:rsidRPr="001523E7" w:rsidRDefault="00670A53" w:rsidP="00D6222C">
      <w:pPr>
        <w:pStyle w:val="BodyText"/>
        <w:spacing w:line="276" w:lineRule="auto"/>
      </w:pPr>
      <w:r w:rsidRPr="00670A53">
        <w:t xml:space="preserve">For </w:t>
      </w:r>
      <w:r w:rsidR="00A32D49">
        <w:t>applications made in the family court</w:t>
      </w:r>
      <w:r w:rsidR="007953B3">
        <w:t>, we do not expect victims to suggest specific programmes that a perpetrator should attend</w:t>
      </w:r>
      <w:r w:rsidR="009B33F8">
        <w:t>,</w:t>
      </w:r>
      <w:r w:rsidR="007953B3">
        <w:t xml:space="preserve"> b</w:t>
      </w:r>
      <w:r w:rsidR="00A56940">
        <w:t xml:space="preserve">ut they may ask the court to consider making </w:t>
      </w:r>
      <w:r w:rsidR="004C26BA">
        <w:t xml:space="preserve">a referral for an assessment of suitability for programmes that may be available in the area. </w:t>
      </w:r>
    </w:p>
    <w:p w14:paraId="7B24C907" w14:textId="06648E1D" w:rsidR="00527F6A" w:rsidRPr="00417C31" w:rsidRDefault="00527F6A" w:rsidP="00D6222C">
      <w:pPr>
        <w:pStyle w:val="BodyText"/>
        <w:spacing w:line="276" w:lineRule="auto"/>
        <w:rPr>
          <w:b/>
          <w:color w:val="8F23B3"/>
          <w:sz w:val="32"/>
          <w:szCs w:val="32"/>
        </w:rPr>
      </w:pPr>
      <w:r>
        <w:t>For any positive requirement imposed under the DAPO, a “responsible person” (an individual or organisation) must be specified to assess suitability of a perpetrator to undertake the requirement</w:t>
      </w:r>
      <w:r w:rsidR="0066191F">
        <w:t>;</w:t>
      </w:r>
      <w:r>
        <w:t xml:space="preserve"> make the necessary arrangements</w:t>
      </w:r>
      <w:r w:rsidR="0066191F">
        <w:t>;</w:t>
      </w:r>
      <w:r>
        <w:t xml:space="preserve"> report compliance </w:t>
      </w:r>
      <w:r w:rsidR="00DD5743">
        <w:t>and non</w:t>
      </w:r>
      <w:r w:rsidR="001B3B42">
        <w:t>-</w:t>
      </w:r>
      <w:r w:rsidR="00DD5743">
        <w:t xml:space="preserve">compliance </w:t>
      </w:r>
      <w:r>
        <w:t>to the police for the duration of the requirement</w:t>
      </w:r>
      <w:r w:rsidR="0082451F">
        <w:t>;</w:t>
      </w:r>
      <w:r>
        <w:t xml:space="preserve"> and ensure coordination with other agencies delivering such requirements </w:t>
      </w:r>
      <w:hyperlink r:id="rId30" w:history="1">
        <w:r>
          <w:rPr>
            <w:rStyle w:val="Hyperlink"/>
          </w:rPr>
          <w:t>(S</w:t>
        </w:r>
        <w:r w:rsidRPr="000E2BC3">
          <w:rPr>
            <w:rStyle w:val="Hyperlink"/>
          </w:rPr>
          <w:t>ection 36</w:t>
        </w:r>
        <w:r>
          <w:rPr>
            <w:rStyle w:val="Hyperlink"/>
          </w:rPr>
          <w:t>)</w:t>
        </w:r>
      </w:hyperlink>
      <w:r>
        <w:t>.</w:t>
      </w:r>
      <w:r w:rsidRPr="009027BE">
        <w:t xml:space="preserve"> </w:t>
      </w:r>
    </w:p>
    <w:p w14:paraId="4D40FDD0" w14:textId="7EDF24C5" w:rsidR="00527F6A" w:rsidRDefault="00527F6A" w:rsidP="00D6222C">
      <w:pPr>
        <w:pStyle w:val="BodyText"/>
        <w:spacing w:line="276" w:lineRule="auto"/>
      </w:pPr>
      <w:r w:rsidRPr="0096046E">
        <w:rPr>
          <w:b/>
          <w:bCs/>
        </w:rPr>
        <w:t>The responsible person for the DAPO pilot will be the provider of the programme delivering the positive requirement</w:t>
      </w:r>
      <w:r>
        <w:t xml:space="preserve"> (for example, the behaviour change programme provider).</w:t>
      </w:r>
      <w:r w:rsidRPr="00417C31">
        <w:t xml:space="preserve"> </w:t>
      </w:r>
      <w:r>
        <w:t xml:space="preserve">The responsible person has a duty to make a suitability assessment of whether the perpetrator is suitable for the requirement; make any necessary arrangements in connection with the positive requirement which they are responsible for; to promote the perpetrator’s compliance with that requirement; and to inform the police regarding the perpetrator’s compliance or non-compliance with the requirement. </w:t>
      </w:r>
    </w:p>
    <w:p w14:paraId="5563B665" w14:textId="0B7B51D6" w:rsidR="009F3294" w:rsidRDefault="009F3294" w:rsidP="009F3294">
      <w:pPr>
        <w:jc w:val="both"/>
        <w:rPr>
          <w:b/>
          <w:bCs/>
          <w:u w:val="single"/>
        </w:rPr>
      </w:pPr>
      <w:r>
        <w:rPr>
          <w:b/>
          <w:bCs/>
          <w:u w:val="single"/>
        </w:rPr>
        <w:t xml:space="preserve">The </w:t>
      </w:r>
      <w:r w:rsidR="00BA2612">
        <w:rPr>
          <w:b/>
          <w:bCs/>
          <w:u w:val="single"/>
        </w:rPr>
        <w:t xml:space="preserve">triage </w:t>
      </w:r>
      <w:r w:rsidR="00B51BD4">
        <w:rPr>
          <w:b/>
          <w:bCs/>
          <w:u w:val="single"/>
        </w:rPr>
        <w:t>tea</w:t>
      </w:r>
      <w:r w:rsidR="0051319B">
        <w:rPr>
          <w:b/>
          <w:bCs/>
          <w:u w:val="single"/>
        </w:rPr>
        <w:t>m</w:t>
      </w:r>
    </w:p>
    <w:p w14:paraId="779198FF" w14:textId="33BD0AD6" w:rsidR="00DD1F27" w:rsidRPr="00EE16E8" w:rsidRDefault="00DD1F27" w:rsidP="009F3294">
      <w:pPr>
        <w:jc w:val="both"/>
        <w:rPr>
          <w:rFonts w:eastAsia="Times New Roman" w:cs="Times New Roman"/>
          <w:lang w:eastAsia="en-GB"/>
        </w:rPr>
      </w:pPr>
      <w:r w:rsidRPr="00957B31">
        <w:rPr>
          <w:rFonts w:eastAsia="Times New Roman" w:cs="Times New Roman"/>
          <w:lang w:eastAsia="en-GB"/>
        </w:rPr>
        <w:t>For the pilot, there will be a triage team which will provide expert advice on which kind of programme / initiative would be most suitable in each case, helping to minimise the risk of placing a perpetrator on an unsuitable programme. The triage team will liaise with the programme provider regarding the provider’s assessment of suitability.</w:t>
      </w:r>
      <w:r w:rsidRPr="008456C1">
        <w:rPr>
          <w:rFonts w:eastAsia="Times New Roman" w:cs="Times New Roman"/>
          <w:vertAlign w:val="superscript"/>
          <w:lang w:eastAsia="en-GB"/>
        </w:rPr>
        <w:footnoteReference w:id="9"/>
      </w:r>
    </w:p>
    <w:p w14:paraId="3B1BA785" w14:textId="77777777" w:rsidR="00527F6A" w:rsidRPr="001D79F3" w:rsidRDefault="00527F6A" w:rsidP="001D79F3">
      <w:pPr>
        <w:pStyle w:val="Heading2"/>
        <w:rPr>
          <w:rFonts w:ascii="Arial" w:hAnsi="Arial" w:cs="Arial"/>
          <w:color w:val="7030A0"/>
          <w:sz w:val="28"/>
          <w:szCs w:val="28"/>
        </w:rPr>
      </w:pPr>
      <w:bookmarkStart w:id="23" w:name="_Toc153264644"/>
      <w:bookmarkStart w:id="24" w:name="_Toc181202770"/>
      <w:r w:rsidRPr="001D79F3">
        <w:rPr>
          <w:rFonts w:ascii="Arial" w:hAnsi="Arial" w:cs="Arial"/>
          <w:color w:val="7030A0"/>
          <w:sz w:val="28"/>
          <w:szCs w:val="28"/>
        </w:rPr>
        <w:t>Electronic monitoring requirements</w:t>
      </w:r>
      <w:bookmarkEnd w:id="23"/>
      <w:bookmarkEnd w:id="24"/>
    </w:p>
    <w:p w14:paraId="2EF668E4" w14:textId="77777777" w:rsidR="00527F6A" w:rsidRPr="00010FC7" w:rsidRDefault="00527F6A" w:rsidP="00D6222C">
      <w:pPr>
        <w:pStyle w:val="BodyText"/>
        <w:spacing w:line="276" w:lineRule="auto"/>
        <w:rPr>
          <w:rFonts w:cs="Arial"/>
          <w:sz w:val="52"/>
          <w:szCs w:val="52"/>
        </w:rPr>
      </w:pPr>
      <w:r>
        <w:t xml:space="preserve">A DAPO may impose an electronic monitoring or “tagging” requirement on the perpetrator. During the DAPO pilot, </w:t>
      </w:r>
      <w:r w:rsidRPr="00010FC7">
        <w:t>the following capabilities are available through electronic monitoring:</w:t>
      </w:r>
    </w:p>
    <w:p w14:paraId="3E22C8EC" w14:textId="77777777" w:rsidR="00527F6A" w:rsidRPr="00010FC7" w:rsidRDefault="00527F6A" w:rsidP="00CD3F30">
      <w:pPr>
        <w:pStyle w:val="BodyText"/>
        <w:numPr>
          <w:ilvl w:val="0"/>
          <w:numId w:val="23"/>
        </w:numPr>
        <w:spacing w:line="276" w:lineRule="auto"/>
        <w:ind w:left="1560" w:hanging="426"/>
        <w:rPr>
          <w:rFonts w:cs="Arial"/>
        </w:rPr>
      </w:pPr>
      <w:r w:rsidRPr="00010FC7">
        <w:rPr>
          <w:rFonts w:cs="Arial"/>
        </w:rPr>
        <w:t>Exclusion zones – Prohibiting the perpetrator from entering a specified location or address.</w:t>
      </w:r>
    </w:p>
    <w:p w14:paraId="5782D442" w14:textId="77777777" w:rsidR="00527F6A" w:rsidRPr="00010FC7" w:rsidRDefault="00527F6A" w:rsidP="00CD3F30">
      <w:pPr>
        <w:pStyle w:val="BodyText"/>
        <w:numPr>
          <w:ilvl w:val="0"/>
          <w:numId w:val="23"/>
        </w:numPr>
        <w:spacing w:line="276" w:lineRule="auto"/>
        <w:ind w:left="1560" w:hanging="426"/>
        <w:rPr>
          <w:rFonts w:cs="Arial"/>
        </w:rPr>
      </w:pPr>
      <w:r w:rsidRPr="00010FC7">
        <w:rPr>
          <w:rFonts w:cs="Arial"/>
        </w:rPr>
        <w:lastRenderedPageBreak/>
        <w:t>Curfew – Mandating the perpetrator to be at a specified location at specified times.</w:t>
      </w:r>
    </w:p>
    <w:p w14:paraId="5115CF9A" w14:textId="77777777" w:rsidR="00527F6A" w:rsidRDefault="00527F6A" w:rsidP="00D6222C">
      <w:pPr>
        <w:pStyle w:val="BodyText"/>
        <w:spacing w:line="276" w:lineRule="auto"/>
        <w:rPr>
          <w:rFonts w:cs="Arial"/>
          <w:color w:val="8F23B3"/>
          <w:sz w:val="52"/>
          <w:szCs w:val="52"/>
        </w:rPr>
      </w:pPr>
      <w:r>
        <w:t xml:space="preserve">The intended purpose of any electronic monitoring requirement is to monitor the perpetrator’s compliance with the other requirements imposed by the DAPO. For example, if the DAPO prohibits the perpetrator from coming within a specified distance of the victim’s home, then electronic monitoring could be imposed to monitor whether the perpetrator is complying with this requirement by remaining outside of the </w:t>
      </w:r>
      <w:bookmarkStart w:id="25" w:name="_Hlk48913629"/>
      <w:r>
        <w:t>exclusion zone.</w:t>
      </w:r>
    </w:p>
    <w:p w14:paraId="4CCA28CD" w14:textId="77777777" w:rsidR="00527F6A" w:rsidRPr="00135D60" w:rsidRDefault="00527F6A" w:rsidP="00D6222C">
      <w:pPr>
        <w:pStyle w:val="BodyText"/>
        <w:spacing w:line="276" w:lineRule="auto"/>
        <w:rPr>
          <w:rFonts w:cs="Arial"/>
          <w:color w:val="8F23B3"/>
          <w:sz w:val="52"/>
          <w:szCs w:val="52"/>
        </w:rPr>
      </w:pPr>
      <w:r>
        <w:t xml:space="preserve">An electronic monitoring requirement </w:t>
      </w:r>
      <w:r w:rsidRPr="002C26AF">
        <w:rPr>
          <w:u w:val="single"/>
        </w:rPr>
        <w:t>cannot</w:t>
      </w:r>
      <w:r>
        <w:t xml:space="preserve"> be imposed in the following circumstances </w:t>
      </w:r>
      <w:hyperlink r:id="rId31" w:history="1">
        <w:r>
          <w:rPr>
            <w:rStyle w:val="Hyperlink"/>
          </w:rPr>
          <w:t>(S</w:t>
        </w:r>
        <w:r w:rsidRPr="005F5A4D">
          <w:rPr>
            <w:rStyle w:val="Hyperlink"/>
          </w:rPr>
          <w:t>ection 37</w:t>
        </w:r>
        <w:r>
          <w:rPr>
            <w:rStyle w:val="Hyperlink"/>
          </w:rPr>
          <w:t>)</w:t>
        </w:r>
      </w:hyperlink>
      <w:r>
        <w:t>:</w:t>
      </w:r>
    </w:p>
    <w:bookmarkEnd w:id="25"/>
    <w:p w14:paraId="028C22DC" w14:textId="77777777" w:rsidR="00527F6A" w:rsidRDefault="00527F6A" w:rsidP="00CD3F30">
      <w:pPr>
        <w:pStyle w:val="BodyText"/>
        <w:numPr>
          <w:ilvl w:val="0"/>
          <w:numId w:val="15"/>
        </w:numPr>
        <w:spacing w:line="276" w:lineRule="auto"/>
        <w:ind w:left="1560" w:hanging="426"/>
      </w:pPr>
      <w:r>
        <w:t xml:space="preserve">in the perpetrator’s </w:t>
      </w:r>
      <w:proofErr w:type="gramStart"/>
      <w:r>
        <w:t>absence;</w:t>
      </w:r>
      <w:proofErr w:type="gramEnd"/>
    </w:p>
    <w:p w14:paraId="5521F1FD" w14:textId="13919186" w:rsidR="00527F6A" w:rsidRDefault="00527F6A" w:rsidP="00CD3F30">
      <w:pPr>
        <w:pStyle w:val="BodyText"/>
        <w:numPr>
          <w:ilvl w:val="0"/>
          <w:numId w:val="15"/>
        </w:numPr>
        <w:spacing w:line="276" w:lineRule="auto"/>
        <w:ind w:left="1560" w:hanging="426"/>
      </w:pPr>
      <w:r>
        <w:t xml:space="preserve">without the consent of any person (other than the perpetrator) whose co-operation is required to </w:t>
      </w:r>
      <w:r w:rsidR="00C66C3D">
        <w:t>secure</w:t>
      </w:r>
      <w:r>
        <w:t xml:space="preserve"> the electronic monitoring requirement – this person could be, for example, the owner of the premises where the perpetrator lives if a home monitoring unit needs to be installed there.</w:t>
      </w:r>
    </w:p>
    <w:p w14:paraId="124D6D3A" w14:textId="77777777" w:rsidR="00527F6A" w:rsidRDefault="00527F6A" w:rsidP="00D6222C">
      <w:pPr>
        <w:pStyle w:val="BodyText"/>
        <w:spacing w:line="276" w:lineRule="auto"/>
      </w:pPr>
      <w:r>
        <w:t xml:space="preserve">Electronic monitoring cannot be imposed where the perpetrator is of no fixed abode. </w:t>
      </w:r>
    </w:p>
    <w:p w14:paraId="3F640D48" w14:textId="7B46D2E9" w:rsidR="00527F6A" w:rsidRDefault="00527F6A" w:rsidP="00D6222C">
      <w:pPr>
        <w:pStyle w:val="BodyText"/>
        <w:spacing w:line="276" w:lineRule="auto"/>
      </w:pPr>
      <w:r>
        <w:t>For the pilot, the Bail Information Service (BIS)</w:t>
      </w:r>
      <w:r w:rsidR="008720A5">
        <w:t xml:space="preserve"> or</w:t>
      </w:r>
      <w:r w:rsidR="00136605">
        <w:t xml:space="preserve"> in some pilot areas, Probation </w:t>
      </w:r>
      <w:r w:rsidR="00187F7E">
        <w:t>court staff</w:t>
      </w:r>
      <w:r w:rsidR="00136605">
        <w:t>,</w:t>
      </w:r>
      <w:r>
        <w:t xml:space="preserve"> will conduct </w:t>
      </w:r>
      <w:r>
        <w:rPr>
          <w:rFonts w:eastAsiaTheme="minorEastAsia" w:cs="Arial"/>
          <w:color w:val="000000" w:themeColor="text1"/>
        </w:rPr>
        <w:t>domestic abuse</w:t>
      </w:r>
      <w:r>
        <w:t xml:space="preserve"> and child safeguarding enquiries (where an EM curfew is being imposed) alongside the consent enquiry for permission for the EM equipment to be installed at the address. </w:t>
      </w:r>
    </w:p>
    <w:p w14:paraId="7C5E5A5F" w14:textId="7B431F39" w:rsidR="00527F6A" w:rsidRDefault="00527F6A" w:rsidP="00D6222C">
      <w:pPr>
        <w:pStyle w:val="BodyText"/>
        <w:spacing w:line="276" w:lineRule="auto"/>
      </w:pPr>
      <w:r>
        <w:t xml:space="preserve">Where a DAPO imposes an electronic monitoring requirement, the DAPO must specify the person who is to be responsible for monitoring the requirement </w:t>
      </w:r>
      <w:hyperlink r:id="rId32">
        <w:r>
          <w:rPr>
            <w:rStyle w:val="Hyperlink"/>
          </w:rPr>
          <w:t>(S</w:t>
        </w:r>
        <w:r w:rsidRPr="77E2F34A">
          <w:rPr>
            <w:rStyle w:val="Hyperlink"/>
          </w:rPr>
          <w:t>ection 37(6)</w:t>
        </w:r>
        <w:r>
          <w:rPr>
            <w:rStyle w:val="Hyperlink"/>
          </w:rPr>
          <w:t>)</w:t>
        </w:r>
      </w:hyperlink>
      <w:r>
        <w:t>.</w:t>
      </w:r>
      <w:r w:rsidDel="008A0DCE">
        <w:rPr>
          <w:rStyle w:val="FootnoteReference"/>
        </w:rPr>
        <w:t xml:space="preserve"> </w:t>
      </w:r>
      <w:r>
        <w:t>The “responsible person” for electronic monitoring is the technology provider of the monitoring equipment.</w:t>
      </w:r>
      <w:r w:rsidR="003C2580">
        <w:rPr>
          <w:rStyle w:val="FootnoteReference"/>
        </w:rPr>
        <w:footnoteReference w:id="10"/>
      </w:r>
    </w:p>
    <w:p w14:paraId="4ABDD8D6" w14:textId="77777777" w:rsidR="00527F6A" w:rsidRPr="009F469B" w:rsidRDefault="00527F6A" w:rsidP="00D6222C">
      <w:pPr>
        <w:pStyle w:val="BodyText"/>
        <w:spacing w:line="276" w:lineRule="auto"/>
      </w:pPr>
      <w:r>
        <w:t xml:space="preserve">The “responsible person” is responsible for monitoring, validating and reporting breaches via alerts to police. Upon confirmation of a breach, the responsible person will share breach details with the relevant piloting police force’s control room in a standardised format via email. </w:t>
      </w:r>
    </w:p>
    <w:p w14:paraId="703459FD" w14:textId="77777777" w:rsidR="00527F6A" w:rsidRDefault="00527F6A" w:rsidP="00D6222C">
      <w:pPr>
        <w:pStyle w:val="BodyText"/>
        <w:spacing w:line="276" w:lineRule="auto"/>
      </w:pPr>
      <w:r>
        <w:t>Police forces will need to review and assess every known reported breach alert for the DAPO, determine enforcement action and following their investigation inform the electronic monitoring technology provider of the outcome status.</w:t>
      </w:r>
    </w:p>
    <w:p w14:paraId="236D2D5B" w14:textId="0B44119C" w:rsidR="00527F6A" w:rsidRDefault="00527F6A" w:rsidP="00D6222C">
      <w:pPr>
        <w:pStyle w:val="BodyText"/>
        <w:spacing w:line="276" w:lineRule="auto"/>
      </w:pPr>
      <w:r>
        <w:lastRenderedPageBreak/>
        <w:t xml:space="preserve">Police should inform the victim of action to be taken following breach of a DAPO, and provide updates, in advance of any prosecution. If a decision is taken for no further action, the victim should be informed of this along with an explanation of the decision. </w:t>
      </w:r>
    </w:p>
    <w:p w14:paraId="2E71CC02" w14:textId="695C7E96" w:rsidR="00527F6A" w:rsidRDefault="00527F6A" w:rsidP="00D6222C">
      <w:pPr>
        <w:pStyle w:val="BodyText"/>
        <w:spacing w:line="276" w:lineRule="auto"/>
      </w:pPr>
      <w:r>
        <w:t xml:space="preserve">An electronic monitoring requirement may not be imposed for longer than 12 months at a time </w:t>
      </w:r>
      <w:hyperlink r:id="rId33" w:history="1">
        <w:r>
          <w:rPr>
            <w:rStyle w:val="Hyperlink"/>
          </w:rPr>
          <w:t>(Se</w:t>
        </w:r>
        <w:r w:rsidRPr="003F1CBE">
          <w:rPr>
            <w:rStyle w:val="Hyperlink"/>
          </w:rPr>
          <w:t>ction 38 (5)</w:t>
        </w:r>
        <w:r>
          <w:rPr>
            <w:rStyle w:val="Hyperlink"/>
          </w:rPr>
          <w:t>)</w:t>
        </w:r>
      </w:hyperlink>
      <w:r>
        <w:t>. If it is considered necessary for an electronic monitoring requirement to be extended, an application can be made to the court for the DAPO to be varied accordingly</w:t>
      </w:r>
      <w:r>
        <w:rPr>
          <w:rStyle w:val="FootnoteReference"/>
        </w:rPr>
        <w:footnoteReference w:id="11"/>
      </w:r>
      <w:r>
        <w:t xml:space="preserve">. The application to extend the electronic monitoring requirement can only be for a further period </w:t>
      </w:r>
      <w:r w:rsidR="00AB766A">
        <w:t xml:space="preserve">of </w:t>
      </w:r>
      <w:r>
        <w:t xml:space="preserve">up to a maximum of 12 months </w:t>
      </w:r>
      <w:proofErr w:type="gramStart"/>
      <w:r>
        <w:t>in order to</w:t>
      </w:r>
      <w:proofErr w:type="gramEnd"/>
      <w:r>
        <w:t xml:space="preserve"> protect the person from </w:t>
      </w:r>
      <w:r w:rsidRPr="64C25239">
        <w:rPr>
          <w:rFonts w:eastAsiaTheme="minorEastAsia" w:cs="Arial"/>
          <w:color w:val="000000" w:themeColor="text1"/>
        </w:rPr>
        <w:t>domestic abuse</w:t>
      </w:r>
      <w:r>
        <w:t xml:space="preserve"> or the risk of </w:t>
      </w:r>
      <w:r w:rsidRPr="64C25239">
        <w:rPr>
          <w:rFonts w:eastAsiaTheme="minorEastAsia" w:cs="Arial"/>
          <w:color w:val="000000" w:themeColor="text1"/>
        </w:rPr>
        <w:t>domestic abuse</w:t>
      </w:r>
      <w:r>
        <w:t xml:space="preserve"> by the perpetrator.</w:t>
      </w:r>
    </w:p>
    <w:p w14:paraId="5EAC3B4C" w14:textId="1E944CC3" w:rsidR="00527F6A" w:rsidRDefault="00527F6A" w:rsidP="00D6222C">
      <w:pPr>
        <w:pStyle w:val="BodyText"/>
        <w:spacing w:line="276" w:lineRule="auto"/>
      </w:pPr>
      <w:r>
        <w:rPr>
          <w:color w:val="000000" w:themeColor="text1"/>
        </w:rPr>
        <w:t>An</w:t>
      </w:r>
      <w:r w:rsidRPr="00112CE9">
        <w:rPr>
          <w:color w:val="000000" w:themeColor="text1"/>
        </w:rPr>
        <w:t xml:space="preserve"> electronic monitoring requirement may not be imposed under a DAPO in the perpetrator’s absence</w:t>
      </w:r>
      <w:r>
        <w:rPr>
          <w:color w:val="000000" w:themeColor="text1"/>
        </w:rPr>
        <w:t xml:space="preserve"> </w:t>
      </w:r>
      <w:hyperlink r:id="rId34" w:history="1">
        <w:r>
          <w:rPr>
            <w:rStyle w:val="Hyperlink"/>
          </w:rPr>
          <w:t>(S</w:t>
        </w:r>
        <w:r w:rsidRPr="00142175">
          <w:rPr>
            <w:rStyle w:val="Hyperlink"/>
          </w:rPr>
          <w:t>ection 37 (2)</w:t>
        </w:r>
      </w:hyperlink>
      <w:r>
        <w:rPr>
          <w:rStyle w:val="Hyperlink"/>
        </w:rPr>
        <w:t>)</w:t>
      </w:r>
      <w:r w:rsidRPr="00112CE9">
        <w:rPr>
          <w:color w:val="000000" w:themeColor="text1"/>
        </w:rPr>
        <w:t xml:space="preserve">. Courts will not be able to impose an electronic monitoring without the perpetrator </w:t>
      </w:r>
      <w:r w:rsidR="00A05F77">
        <w:rPr>
          <w:color w:val="000000" w:themeColor="text1"/>
        </w:rPr>
        <w:t>being present at the</w:t>
      </w:r>
      <w:r w:rsidRPr="00112CE9">
        <w:rPr>
          <w:color w:val="000000" w:themeColor="text1"/>
        </w:rPr>
        <w:t xml:space="preserve"> hearing</w:t>
      </w:r>
      <w:r w:rsidR="002D2CCA">
        <w:rPr>
          <w:rStyle w:val="FootnoteReference"/>
          <w:color w:val="000000" w:themeColor="text1"/>
        </w:rPr>
        <w:footnoteReference w:id="12"/>
      </w:r>
      <w:r w:rsidRPr="00112CE9">
        <w:rPr>
          <w:color w:val="000000" w:themeColor="text1"/>
        </w:rPr>
        <w:t>.</w:t>
      </w:r>
      <w:r>
        <w:rPr>
          <w:color w:val="000000" w:themeColor="text1"/>
        </w:rPr>
        <w:t xml:space="preserve"> This provides the opportunity for the perpetrator to confirm their home address directly to the court. </w:t>
      </w:r>
      <w:r w:rsidR="001E2007">
        <w:rPr>
          <w:color w:val="000000" w:themeColor="text1"/>
        </w:rPr>
        <w:t xml:space="preserve">For applications in the family </w:t>
      </w:r>
      <w:r w:rsidR="00FA666A">
        <w:rPr>
          <w:color w:val="000000" w:themeColor="text1"/>
        </w:rPr>
        <w:t xml:space="preserve">and county courts, this will </w:t>
      </w:r>
      <w:r w:rsidR="00863633">
        <w:rPr>
          <w:color w:val="000000" w:themeColor="text1"/>
        </w:rPr>
        <w:t xml:space="preserve">mean </w:t>
      </w:r>
      <w:r w:rsidR="00FA666A">
        <w:rPr>
          <w:color w:val="000000" w:themeColor="text1"/>
        </w:rPr>
        <w:t xml:space="preserve">that a further hearing will have to be scheduled </w:t>
      </w:r>
      <w:r w:rsidR="00A05F77">
        <w:rPr>
          <w:color w:val="000000" w:themeColor="text1"/>
        </w:rPr>
        <w:t xml:space="preserve">once the necessary checks and enquiries have been carried at, </w:t>
      </w:r>
      <w:r w:rsidR="00FA666A">
        <w:rPr>
          <w:color w:val="000000" w:themeColor="text1"/>
        </w:rPr>
        <w:t>which the res</w:t>
      </w:r>
      <w:r w:rsidR="00E23C08">
        <w:rPr>
          <w:color w:val="000000" w:themeColor="text1"/>
        </w:rPr>
        <w:t>pondent will be</w:t>
      </w:r>
      <w:r w:rsidR="009F09A4">
        <w:rPr>
          <w:color w:val="000000" w:themeColor="text1"/>
        </w:rPr>
        <w:t xml:space="preserve"> expected</w:t>
      </w:r>
      <w:r w:rsidR="00E23C08">
        <w:rPr>
          <w:color w:val="000000" w:themeColor="text1"/>
        </w:rPr>
        <w:t xml:space="preserve"> to </w:t>
      </w:r>
      <w:r w:rsidR="00A05F77">
        <w:rPr>
          <w:color w:val="000000" w:themeColor="text1"/>
        </w:rPr>
        <w:t>be present at</w:t>
      </w:r>
      <w:r w:rsidR="00E23C08">
        <w:rPr>
          <w:color w:val="000000" w:themeColor="text1"/>
        </w:rPr>
        <w:t xml:space="preserve">. </w:t>
      </w:r>
    </w:p>
    <w:p w14:paraId="106BB2E5" w14:textId="0AF2D698" w:rsidR="00527F6A" w:rsidRDefault="00527F6A" w:rsidP="00D6222C">
      <w:pPr>
        <w:pStyle w:val="BodyText"/>
        <w:spacing w:line="276" w:lineRule="auto"/>
      </w:pPr>
      <w:r>
        <w:t xml:space="preserve">As with any other requirement sought in an application for a DAPO, the court must be satisfied that electronic monitoring is necessary to protect the complainant from </w:t>
      </w:r>
      <w:r>
        <w:rPr>
          <w:rFonts w:eastAsiaTheme="minorEastAsia" w:cs="Arial"/>
          <w:color w:val="000000" w:themeColor="text1"/>
        </w:rPr>
        <w:t>domestic abuse</w:t>
      </w:r>
      <w:r>
        <w:t xml:space="preserve">, or the risk of </w:t>
      </w:r>
      <w:r>
        <w:rPr>
          <w:rFonts w:eastAsiaTheme="minorEastAsia" w:cs="Arial"/>
          <w:color w:val="000000" w:themeColor="text1"/>
        </w:rPr>
        <w:t>domestic abuse</w:t>
      </w:r>
      <w:r>
        <w:t xml:space="preserve"> by the perpetrator. </w:t>
      </w:r>
    </w:p>
    <w:p w14:paraId="0EBABE55" w14:textId="77777777" w:rsidR="00527F6A" w:rsidRDefault="00527F6A" w:rsidP="00D6222C">
      <w:pPr>
        <w:pStyle w:val="BodyText"/>
        <w:spacing w:line="276" w:lineRule="auto"/>
      </w:pPr>
      <w:r>
        <w:t xml:space="preserve">Where a DAPO imposes an electronic monitoring requirement on the perpetrator, the perpetrator is subject to certain obligations which have effect like any other requirement imposed by the DAPO. These obligations are set out at </w:t>
      </w:r>
      <w:hyperlink r:id="rId35" w:history="1">
        <w:r>
          <w:rPr>
            <w:rStyle w:val="Hyperlink"/>
          </w:rPr>
          <w:t>S</w:t>
        </w:r>
        <w:r w:rsidRPr="003F1CBE">
          <w:rPr>
            <w:rStyle w:val="Hyperlink"/>
          </w:rPr>
          <w:t>ection 37(8)</w:t>
        </w:r>
      </w:hyperlink>
      <w:r>
        <w:t>, and require the perpetrator:</w:t>
      </w:r>
    </w:p>
    <w:p w14:paraId="696D6348" w14:textId="7292CF5C" w:rsidR="00527F6A" w:rsidRDefault="00527F6A" w:rsidP="00CD3F30">
      <w:pPr>
        <w:pStyle w:val="ListParagraph"/>
        <w:numPr>
          <w:ilvl w:val="0"/>
          <w:numId w:val="16"/>
        </w:numPr>
        <w:spacing w:after="240" w:line="276" w:lineRule="auto"/>
        <w:ind w:left="1560"/>
      </w:pPr>
      <w:r>
        <w:t xml:space="preserve">To submit to being fitted with the electronic monitoring apparatus (such as an ankle tag) or to this apparatus being installed (such as a home monitoring unit) by the electronic monitoring </w:t>
      </w:r>
      <w:proofErr w:type="gramStart"/>
      <w:r>
        <w:t>provider;</w:t>
      </w:r>
      <w:proofErr w:type="gramEnd"/>
    </w:p>
    <w:p w14:paraId="5F33896C" w14:textId="1A670606" w:rsidR="00527F6A" w:rsidRDefault="00527F6A" w:rsidP="00CD3F30">
      <w:pPr>
        <w:pStyle w:val="ListParagraph"/>
        <w:numPr>
          <w:ilvl w:val="0"/>
          <w:numId w:val="16"/>
        </w:numPr>
        <w:spacing w:after="240" w:line="276" w:lineRule="auto"/>
        <w:ind w:left="1560"/>
      </w:pPr>
      <w:r>
        <w:t xml:space="preserve">To submit to the electronic monitoring apparatus being inspected or repaired by the electronic monitoring </w:t>
      </w:r>
      <w:proofErr w:type="gramStart"/>
      <w:r>
        <w:t>provider;</w:t>
      </w:r>
      <w:proofErr w:type="gramEnd"/>
    </w:p>
    <w:p w14:paraId="572BDCC2" w14:textId="77777777" w:rsidR="00527F6A" w:rsidRDefault="00527F6A" w:rsidP="00CD3F30">
      <w:pPr>
        <w:pStyle w:val="ListParagraph"/>
        <w:numPr>
          <w:ilvl w:val="0"/>
          <w:numId w:val="16"/>
        </w:numPr>
        <w:spacing w:after="240" w:line="276" w:lineRule="auto"/>
        <w:ind w:left="1560"/>
      </w:pPr>
      <w:r>
        <w:t xml:space="preserve">Not to interfere with, or with the working of, the electronic monitoring </w:t>
      </w:r>
      <w:proofErr w:type="gramStart"/>
      <w:r>
        <w:t>apparatus;</w:t>
      </w:r>
      <w:proofErr w:type="gramEnd"/>
    </w:p>
    <w:p w14:paraId="2B73735D" w14:textId="163239D9" w:rsidR="00527F6A" w:rsidRDefault="00527F6A" w:rsidP="00D6222C">
      <w:pPr>
        <w:pStyle w:val="ListParagraph"/>
        <w:numPr>
          <w:ilvl w:val="0"/>
          <w:numId w:val="16"/>
        </w:numPr>
        <w:spacing w:after="240" w:line="276" w:lineRule="auto"/>
        <w:ind w:left="1560"/>
      </w:pPr>
      <w:r>
        <w:t>To take any steps to keep the apparatus in working order,</w:t>
      </w:r>
      <w:r w:rsidRPr="00E32107">
        <w:t xml:space="preserve"> </w:t>
      </w:r>
      <w:r>
        <w:t>including keeping the equipment charged as directed.</w:t>
      </w:r>
    </w:p>
    <w:p w14:paraId="790AB6A9" w14:textId="77777777" w:rsidR="005D16DB" w:rsidRDefault="00527F6A" w:rsidP="00D6222C">
      <w:pPr>
        <w:spacing w:after="240" w:line="276" w:lineRule="auto"/>
      </w:pPr>
      <w:r>
        <w:lastRenderedPageBreak/>
        <w:t xml:space="preserve">Failure to adhere to these requirements would constitute a breach of the DAPO </w:t>
      </w:r>
      <w:hyperlink r:id="rId36" w:history="1">
        <w:r w:rsidRPr="00EA21D7">
          <w:rPr>
            <w:rStyle w:val="Hyperlink"/>
          </w:rPr>
          <w:t>(Section 39)</w:t>
        </w:r>
      </w:hyperlink>
      <w:r>
        <w:t>.</w:t>
      </w:r>
    </w:p>
    <w:p w14:paraId="5D1215F8" w14:textId="77777777" w:rsidR="005D16DB" w:rsidRPr="005D7774" w:rsidRDefault="005D16DB" w:rsidP="005D16DB">
      <w:pPr>
        <w:spacing w:after="120" w:line="240" w:lineRule="auto"/>
        <w:jc w:val="both"/>
        <w:rPr>
          <w:b/>
          <w:bCs/>
          <w:u w:val="single"/>
        </w:rPr>
      </w:pPr>
      <w:r w:rsidRPr="005D7774">
        <w:rPr>
          <w:b/>
          <w:bCs/>
          <w:u w:val="single"/>
        </w:rPr>
        <w:t xml:space="preserve">Breach </w:t>
      </w:r>
      <w:r>
        <w:rPr>
          <w:b/>
          <w:bCs/>
          <w:u w:val="single"/>
        </w:rPr>
        <w:t>of EM</w:t>
      </w:r>
      <w:r w:rsidRPr="005D7774">
        <w:rPr>
          <w:b/>
          <w:bCs/>
          <w:u w:val="single"/>
        </w:rPr>
        <w:t xml:space="preserve"> </w:t>
      </w:r>
    </w:p>
    <w:p w14:paraId="736D9068" w14:textId="0E15842F" w:rsidR="009F6F9E" w:rsidRPr="005249C9" w:rsidRDefault="009F6F9E" w:rsidP="005249C9">
      <w:pPr>
        <w:rPr>
          <w:rStyle w:val="normaltextrun"/>
        </w:rPr>
      </w:pPr>
      <w:r w:rsidRPr="006B4C50">
        <w:rPr>
          <w:rStyle w:val="normaltextrun"/>
          <w:color w:val="000000"/>
          <w:shd w:val="clear" w:color="auto" w:fill="FFFFFF"/>
        </w:rPr>
        <w:t>As breach of a DAPO is a criminal offence, all breaches of an EM tag will need to be investigated</w:t>
      </w:r>
      <w:r>
        <w:rPr>
          <w:rStyle w:val="normaltextrun"/>
          <w:color w:val="000000"/>
          <w:shd w:val="clear" w:color="auto" w:fill="FFFFFF"/>
        </w:rPr>
        <w:t xml:space="preserve"> and actioned, as is the case for b</w:t>
      </w:r>
      <w:r w:rsidRPr="008B6FFC">
        <w:rPr>
          <w:rStyle w:val="normaltextrun"/>
          <w:color w:val="000000"/>
          <w:shd w:val="clear" w:color="auto" w:fill="FFFFFF"/>
        </w:rPr>
        <w:t>reaches of similar protective orders (e.g., Stalking Protection Orders, Non-Molestation Orders)</w:t>
      </w:r>
      <w:r>
        <w:rPr>
          <w:rStyle w:val="normaltextrun"/>
          <w:color w:val="000000"/>
          <w:shd w:val="clear" w:color="auto" w:fill="FFFFFF"/>
        </w:rPr>
        <w:t>.</w:t>
      </w:r>
    </w:p>
    <w:p w14:paraId="12061589" w14:textId="6776D740" w:rsidR="00527F6A" w:rsidRPr="00900107" w:rsidRDefault="00527F6A" w:rsidP="00900107">
      <w:pPr>
        <w:pStyle w:val="Heading1briefing"/>
      </w:pPr>
      <w:bookmarkStart w:id="26" w:name="_Toc147759990"/>
      <w:bookmarkStart w:id="27" w:name="_Toc153264645"/>
      <w:bookmarkStart w:id="28" w:name="_Toc181202771"/>
      <w:r w:rsidRPr="00900107">
        <w:t xml:space="preserve">Notification </w:t>
      </w:r>
      <w:bookmarkEnd w:id="26"/>
      <w:r w:rsidRPr="00900107">
        <w:t>requirements</w:t>
      </w:r>
      <w:bookmarkEnd w:id="27"/>
      <w:bookmarkEnd w:id="28"/>
    </w:p>
    <w:p w14:paraId="0E74EA43" w14:textId="12CF404C" w:rsidR="00527F6A" w:rsidRPr="001D79F3" w:rsidRDefault="00D54AE9" w:rsidP="00D6222C">
      <w:pPr>
        <w:pStyle w:val="Heading2"/>
        <w:rPr>
          <w:rFonts w:ascii="Arial" w:hAnsi="Arial" w:cs="Arial"/>
          <w:color w:val="7030A0"/>
          <w:sz w:val="28"/>
          <w:szCs w:val="28"/>
        </w:rPr>
      </w:pPr>
      <w:bookmarkStart w:id="29" w:name="_Toc14776862"/>
      <w:bookmarkStart w:id="30" w:name="_Toc147759991"/>
      <w:bookmarkStart w:id="31" w:name="_Toc153264646"/>
      <w:bookmarkStart w:id="32" w:name="_Toc181202772"/>
      <w:r>
        <w:rPr>
          <w:rFonts w:ascii="Arial" w:hAnsi="Arial" w:cs="Arial"/>
          <w:color w:val="7030A0"/>
          <w:sz w:val="28"/>
          <w:szCs w:val="28"/>
        </w:rPr>
        <w:t>Scope of n</w:t>
      </w:r>
      <w:r w:rsidR="00527F6A" w:rsidRPr="001D79F3">
        <w:rPr>
          <w:rFonts w:ascii="Arial" w:hAnsi="Arial" w:cs="Arial"/>
          <w:color w:val="7030A0"/>
          <w:sz w:val="28"/>
          <w:szCs w:val="28"/>
        </w:rPr>
        <w:t>otification requirements</w:t>
      </w:r>
      <w:bookmarkStart w:id="33" w:name="_Toc149810313"/>
      <w:bookmarkStart w:id="34" w:name="_Toc147759992"/>
      <w:bookmarkStart w:id="35" w:name="_Toc147760961"/>
      <w:bookmarkStart w:id="36" w:name="_Toc147917816"/>
      <w:bookmarkStart w:id="37" w:name="_Toc147920546"/>
      <w:bookmarkStart w:id="38" w:name="_Toc147921091"/>
      <w:bookmarkStart w:id="39" w:name="_Toc147921148"/>
      <w:bookmarkStart w:id="40" w:name="_Toc147921262"/>
      <w:bookmarkStart w:id="41" w:name="_Toc147921659"/>
      <w:bookmarkStart w:id="42" w:name="_Toc148087519"/>
      <w:bookmarkEnd w:id="29"/>
      <w:bookmarkEnd w:id="30"/>
      <w:bookmarkEnd w:id="31"/>
      <w:bookmarkEnd w:id="32"/>
    </w:p>
    <w:bookmarkEnd w:id="33"/>
    <w:bookmarkEnd w:id="34"/>
    <w:bookmarkEnd w:id="35"/>
    <w:bookmarkEnd w:id="36"/>
    <w:bookmarkEnd w:id="37"/>
    <w:bookmarkEnd w:id="38"/>
    <w:bookmarkEnd w:id="39"/>
    <w:bookmarkEnd w:id="40"/>
    <w:bookmarkEnd w:id="41"/>
    <w:bookmarkEnd w:id="42"/>
    <w:p w14:paraId="364BB660" w14:textId="7D457246" w:rsidR="00527F6A" w:rsidRDefault="00527F6A" w:rsidP="00D6222C">
      <w:pPr>
        <w:pStyle w:val="BodyText"/>
      </w:pPr>
      <w:r>
        <w:t xml:space="preserve">A perpetrator subject to a DAPO is automatically subject to </w:t>
      </w:r>
      <w:r w:rsidRPr="00AB5984">
        <w:rPr>
          <w:b/>
          <w:bCs/>
        </w:rPr>
        <w:t>notification requirements of name and address</w:t>
      </w:r>
      <w:r>
        <w:rPr>
          <w:b/>
          <w:bCs/>
        </w:rPr>
        <w:t xml:space="preserve"> </w:t>
      </w:r>
      <w:hyperlink r:id="rId37">
        <w:r>
          <w:rPr>
            <w:rStyle w:val="Hyperlink"/>
            <w:rFonts w:cs="Arial"/>
          </w:rPr>
          <w:t>(S</w:t>
        </w:r>
        <w:r w:rsidRPr="00C24412">
          <w:rPr>
            <w:rStyle w:val="Hyperlink"/>
            <w:rFonts w:cs="Arial"/>
          </w:rPr>
          <w:t>ection 41</w:t>
        </w:r>
        <w:r>
          <w:rPr>
            <w:rStyle w:val="Hyperlink"/>
            <w:rFonts w:cs="Arial"/>
          </w:rPr>
          <w:t>)</w:t>
        </w:r>
      </w:hyperlink>
      <w:r>
        <w:t>. This requires them to notify the police of their name(s) (including any aliases) and their home address within three days</w:t>
      </w:r>
      <w:r w:rsidR="00CD7BFA">
        <w:t>,</w:t>
      </w:r>
      <w:r>
        <w:t xml:space="preserve"> beginning with the day on which the DAPO is made. Any changes to name or address must also be notified to the police within three days of the event. Such information will assist the police in monitoring compliance with the DAPO and in managing the risks posed by the perpetrator.</w:t>
      </w:r>
    </w:p>
    <w:p w14:paraId="4F3256BF" w14:textId="77777777" w:rsidR="00527F6A" w:rsidRDefault="00527F6A" w:rsidP="00D6222C">
      <w:pPr>
        <w:pStyle w:val="BodyText"/>
      </w:pPr>
      <w:r>
        <w:t>“Home address” is defined as (Section 56):</w:t>
      </w:r>
    </w:p>
    <w:p w14:paraId="5936C922" w14:textId="77777777" w:rsidR="00527F6A" w:rsidRDefault="00527F6A" w:rsidP="00CD3F30">
      <w:pPr>
        <w:pStyle w:val="BodyText"/>
        <w:numPr>
          <w:ilvl w:val="0"/>
          <w:numId w:val="24"/>
        </w:numPr>
        <w:ind w:left="1560" w:hanging="426"/>
      </w:pPr>
      <w:r>
        <w:t>the address of the person’s sole or main residence in the United Kingdom, or</w:t>
      </w:r>
    </w:p>
    <w:p w14:paraId="25CEFED6" w14:textId="77777777" w:rsidR="00527F6A" w:rsidRDefault="00527F6A" w:rsidP="00CD3F30">
      <w:pPr>
        <w:pStyle w:val="BodyText"/>
        <w:numPr>
          <w:ilvl w:val="0"/>
          <w:numId w:val="24"/>
        </w:numPr>
        <w:ind w:left="1560" w:hanging="426"/>
      </w:pPr>
      <w:r>
        <w:t xml:space="preserve">if the person has no such residence – </w:t>
      </w:r>
    </w:p>
    <w:p w14:paraId="11131749" w14:textId="77777777" w:rsidR="00527F6A" w:rsidRDefault="00527F6A" w:rsidP="00CD3F30">
      <w:pPr>
        <w:pStyle w:val="BodyText"/>
        <w:numPr>
          <w:ilvl w:val="0"/>
          <w:numId w:val="25"/>
        </w:numPr>
      </w:pPr>
      <w:r>
        <w:t xml:space="preserve">the address or location of a place in the United Kingdom where the person can regularly be </w:t>
      </w:r>
      <w:proofErr w:type="gramStart"/>
      <w:r>
        <w:t>found;</w:t>
      </w:r>
      <w:proofErr w:type="gramEnd"/>
    </w:p>
    <w:p w14:paraId="24710032" w14:textId="77777777" w:rsidR="00527F6A" w:rsidRDefault="00527F6A" w:rsidP="00CD3F30">
      <w:pPr>
        <w:pStyle w:val="BodyText"/>
        <w:numPr>
          <w:ilvl w:val="0"/>
          <w:numId w:val="25"/>
        </w:numPr>
      </w:pPr>
      <w:r>
        <w:t>if there is more than one such place, the address or location of whichever one of those places the person selects.</w:t>
      </w:r>
    </w:p>
    <w:p w14:paraId="1E214C3E" w14:textId="77777777" w:rsidR="00527F6A" w:rsidRDefault="00527F6A" w:rsidP="00D6222C">
      <w:pPr>
        <w:pStyle w:val="BodyText"/>
        <w:spacing w:line="276" w:lineRule="auto"/>
      </w:pPr>
      <w:r>
        <w:t xml:space="preserve">This definition is intended to capture a range of circumstances in relation to the perpetrator, such as if they regularly move between multiple addresses or if they are homeless. If the perpetrator has a home address in England and Wales, they must give notification by </w:t>
      </w:r>
      <w:hyperlink r:id="rId38" w:history="1">
        <w:r>
          <w:rPr>
            <w:rStyle w:val="Hyperlink"/>
          </w:rPr>
          <w:t>(S</w:t>
        </w:r>
        <w:r w:rsidRPr="005D63C6">
          <w:rPr>
            <w:rStyle w:val="Hyperlink"/>
          </w:rPr>
          <w:t>ection 42</w:t>
        </w:r>
        <w:r>
          <w:rPr>
            <w:rStyle w:val="Hyperlink"/>
          </w:rPr>
          <w:t>)</w:t>
        </w:r>
      </w:hyperlink>
      <w:r>
        <w:t>:</w:t>
      </w:r>
    </w:p>
    <w:p w14:paraId="7E76A456" w14:textId="77777777" w:rsidR="00527F6A" w:rsidRDefault="00527F6A" w:rsidP="00CD3F30">
      <w:pPr>
        <w:pStyle w:val="NoSpacing"/>
        <w:numPr>
          <w:ilvl w:val="0"/>
          <w:numId w:val="17"/>
        </w:numPr>
        <w:spacing w:after="240" w:line="276" w:lineRule="auto"/>
        <w:ind w:left="1560" w:hanging="426"/>
      </w:pPr>
      <w:r w:rsidRPr="00025BA8">
        <w:t xml:space="preserve">attending at </w:t>
      </w:r>
      <w:r>
        <w:t>a police station in the police area where the home address is situated</w:t>
      </w:r>
      <w:r w:rsidRPr="00025BA8">
        <w:t xml:space="preserve">, and </w:t>
      </w:r>
    </w:p>
    <w:p w14:paraId="288B71D4" w14:textId="77777777" w:rsidR="00527F6A" w:rsidRDefault="00527F6A" w:rsidP="00CD3F30">
      <w:pPr>
        <w:pStyle w:val="NoSpacing"/>
        <w:numPr>
          <w:ilvl w:val="0"/>
          <w:numId w:val="17"/>
        </w:numPr>
        <w:spacing w:after="240" w:line="276" w:lineRule="auto"/>
        <w:ind w:left="1560" w:hanging="426"/>
      </w:pPr>
      <w:r w:rsidRPr="00025BA8">
        <w:t>giving an oral notification to a police officer, or to any person authorised for the purpose by the officer in charge of the station</w:t>
      </w:r>
      <w:r>
        <w:t>.</w:t>
      </w:r>
    </w:p>
    <w:p w14:paraId="089A8BCA" w14:textId="77777777" w:rsidR="00527F6A" w:rsidRDefault="00527F6A" w:rsidP="00D6222C">
      <w:pPr>
        <w:pStyle w:val="NoSpacing"/>
        <w:spacing w:after="240" w:line="276" w:lineRule="auto"/>
      </w:pPr>
      <w:r>
        <w:t>If the perpetrator ceases to have a home address in England and Wales, they must give notification by:</w:t>
      </w:r>
    </w:p>
    <w:p w14:paraId="2BF17995" w14:textId="77777777" w:rsidR="00527F6A" w:rsidRDefault="00527F6A" w:rsidP="00CD3F30">
      <w:pPr>
        <w:pStyle w:val="NoSpacing"/>
        <w:numPr>
          <w:ilvl w:val="0"/>
          <w:numId w:val="18"/>
        </w:numPr>
        <w:spacing w:after="240" w:line="276" w:lineRule="auto"/>
        <w:ind w:left="1560" w:hanging="426"/>
      </w:pPr>
      <w:r>
        <w:lastRenderedPageBreak/>
        <w:t>attending at a police station in the local police area in which the court which made the DAPO in respect of the perpetrator is situated, and</w:t>
      </w:r>
    </w:p>
    <w:p w14:paraId="69D2219E" w14:textId="77777777" w:rsidR="00527F6A" w:rsidRPr="00025BA8" w:rsidRDefault="00527F6A" w:rsidP="00527F6A">
      <w:pPr>
        <w:pStyle w:val="NoSpacing"/>
        <w:ind w:left="1560" w:hanging="426"/>
      </w:pPr>
    </w:p>
    <w:p w14:paraId="3D609818" w14:textId="77777777" w:rsidR="00527F6A" w:rsidRPr="00025BA8" w:rsidRDefault="00527F6A" w:rsidP="00CD3F30">
      <w:pPr>
        <w:pStyle w:val="NoSpacing"/>
        <w:numPr>
          <w:ilvl w:val="0"/>
          <w:numId w:val="18"/>
        </w:numPr>
        <w:spacing w:after="240" w:line="276" w:lineRule="auto"/>
        <w:ind w:left="1560" w:hanging="426"/>
      </w:pPr>
      <w:r w:rsidRPr="00025BA8">
        <w:t>giving an oral notification to a police officer, or to any person authorised for the purpose by the officer in charge of the station.</w:t>
      </w:r>
    </w:p>
    <w:p w14:paraId="3DB7A790" w14:textId="77777777" w:rsidR="00527F6A" w:rsidRDefault="00527F6A" w:rsidP="00D6222C">
      <w:pPr>
        <w:pStyle w:val="NoSpacing"/>
        <w:spacing w:after="240" w:line="276" w:lineRule="auto"/>
      </w:pPr>
      <w:r w:rsidRPr="00254F78">
        <w:t>When the perpetrator gives notification, they must, if requested to do so by the officer receiving the notification, allow the officer to verify their identity by taking their fingerprints and/or their photograph</w:t>
      </w:r>
      <w:r>
        <w:t xml:space="preserve"> (section 42(5))</w:t>
      </w:r>
      <w:r w:rsidRPr="00254F78">
        <w:t>.</w:t>
      </w:r>
    </w:p>
    <w:p w14:paraId="4BF3C048" w14:textId="5839B55A" w:rsidR="00527F6A" w:rsidRPr="00254F78" w:rsidRDefault="00527F6A" w:rsidP="00D6222C">
      <w:pPr>
        <w:pStyle w:val="NoSpacing"/>
        <w:spacing w:after="240" w:line="276" w:lineRule="auto"/>
      </w:pPr>
      <w:r w:rsidRPr="00254F78">
        <w:t>Once the perpetrator has given notification, this must be acknowledged in writing</w:t>
      </w:r>
      <w:r>
        <w:t xml:space="preserve">. </w:t>
      </w:r>
      <w:r w:rsidR="007264CD">
        <w:t>Police</w:t>
      </w:r>
      <w:r w:rsidR="007419EB">
        <w:t xml:space="preserve"> have a developed a form they will use for such acknowledgements. </w:t>
      </w:r>
    </w:p>
    <w:p w14:paraId="61246FAF" w14:textId="73186076" w:rsidR="00527F6A" w:rsidRDefault="00527F6A" w:rsidP="00D6222C">
      <w:pPr>
        <w:pStyle w:val="NoSpacing"/>
        <w:spacing w:after="240" w:line="276" w:lineRule="auto"/>
      </w:pPr>
      <w:r>
        <w:t xml:space="preserve">The notification requirements do not apply where the perpetrator is already subject to notification requirements </w:t>
      </w:r>
      <w:hyperlink r:id="rId39" w:history="1">
        <w:r>
          <w:rPr>
            <w:rStyle w:val="Hyperlink"/>
          </w:rPr>
          <w:t>(S</w:t>
        </w:r>
        <w:r w:rsidRPr="005D63C6">
          <w:rPr>
            <w:rStyle w:val="Hyperlink"/>
          </w:rPr>
          <w:t>ection 4</w:t>
        </w:r>
        <w:r>
          <w:rPr>
            <w:rStyle w:val="Hyperlink"/>
          </w:rPr>
          <w:t>1</w:t>
        </w:r>
        <w:r w:rsidR="009C20ED">
          <w:rPr>
            <w:rStyle w:val="Hyperlink"/>
          </w:rPr>
          <w:t>(8)</w:t>
        </w:r>
        <w:r>
          <w:rPr>
            <w:rStyle w:val="Hyperlink"/>
          </w:rPr>
          <w:t>)</w:t>
        </w:r>
      </w:hyperlink>
      <w:r>
        <w:t>:</w:t>
      </w:r>
    </w:p>
    <w:p w14:paraId="4DDD6B22" w14:textId="77777777" w:rsidR="00527F6A" w:rsidRDefault="00527F6A" w:rsidP="00CD3F30">
      <w:pPr>
        <w:pStyle w:val="BodyText"/>
        <w:numPr>
          <w:ilvl w:val="0"/>
          <w:numId w:val="19"/>
        </w:numPr>
        <w:spacing w:line="276" w:lineRule="auto"/>
        <w:ind w:left="1560" w:hanging="426"/>
      </w:pPr>
      <w:r>
        <w:t>imposed by another DAPO; or</w:t>
      </w:r>
    </w:p>
    <w:p w14:paraId="4263DA08" w14:textId="77777777" w:rsidR="00527F6A" w:rsidRDefault="00527F6A" w:rsidP="00CD3F30">
      <w:pPr>
        <w:pStyle w:val="BodyText"/>
        <w:numPr>
          <w:ilvl w:val="0"/>
          <w:numId w:val="19"/>
        </w:numPr>
        <w:spacing w:line="276" w:lineRule="auto"/>
        <w:ind w:left="1560" w:hanging="426"/>
      </w:pPr>
      <w:r>
        <w:t xml:space="preserve">under </w:t>
      </w:r>
      <w:hyperlink r:id="rId40" w:history="1">
        <w:r w:rsidRPr="0013297E">
          <w:rPr>
            <w:rStyle w:val="Hyperlink"/>
          </w:rPr>
          <w:t>Part 2 of the Sexual Offences Act 2003</w:t>
        </w:r>
      </w:hyperlink>
      <w:r>
        <w:t>; or</w:t>
      </w:r>
    </w:p>
    <w:p w14:paraId="0BB04737" w14:textId="77777777" w:rsidR="00527F6A" w:rsidRDefault="00527F6A" w:rsidP="00CD3F30">
      <w:pPr>
        <w:pStyle w:val="BodyText"/>
        <w:numPr>
          <w:ilvl w:val="0"/>
          <w:numId w:val="19"/>
        </w:numPr>
        <w:spacing w:line="276" w:lineRule="auto"/>
        <w:ind w:left="1560" w:hanging="426"/>
      </w:pPr>
      <w:r>
        <w:t xml:space="preserve">under </w:t>
      </w:r>
      <w:hyperlink r:id="rId41" w:history="1">
        <w:r>
          <w:rPr>
            <w:rStyle w:val="Hyperlink"/>
          </w:rPr>
          <w:t>S</w:t>
        </w:r>
        <w:r w:rsidRPr="000056CD">
          <w:rPr>
            <w:rStyle w:val="Hyperlink"/>
          </w:rPr>
          <w:t>ection 9 of the Stalking Protection Act 2019</w:t>
        </w:r>
      </w:hyperlink>
      <w:r>
        <w:t>.</w:t>
      </w:r>
    </w:p>
    <w:p w14:paraId="04A8C873" w14:textId="09DB9D4E" w:rsidR="00527F6A" w:rsidRDefault="00527F6A" w:rsidP="00D6222C">
      <w:pPr>
        <w:spacing w:after="240" w:line="276" w:lineRule="auto"/>
      </w:pPr>
      <w:r>
        <w:t>If the</w:t>
      </w:r>
      <w:r w:rsidDel="54388A96">
        <w:t xml:space="preserve"> </w:t>
      </w:r>
      <w:r>
        <w:t>perpetrator ceases to be subject to any of those notification requirements before the expiry of a DAPO, the deadline for notification would be three days beginning with the day on which the perpetrator ceases to be subject to the other notification requirements (i.e. beginning with the day on which the other order or orders expire)</w:t>
      </w:r>
      <w:r w:rsidRPr="00EA21D7">
        <w:t xml:space="preserve"> </w:t>
      </w:r>
      <w:hyperlink r:id="rId42" w:history="1">
        <w:r>
          <w:rPr>
            <w:rStyle w:val="Hyperlink"/>
          </w:rPr>
          <w:t>(S</w:t>
        </w:r>
        <w:r w:rsidRPr="00886DC1">
          <w:rPr>
            <w:rStyle w:val="Hyperlink"/>
          </w:rPr>
          <w:t>ection 41</w:t>
        </w:r>
      </w:hyperlink>
      <w:r w:rsidR="00802F93">
        <w:rPr>
          <w:rStyle w:val="Hyperlink"/>
        </w:rPr>
        <w:t>(9)</w:t>
      </w:r>
      <w:r>
        <w:rPr>
          <w:rStyle w:val="Hyperlink"/>
        </w:rPr>
        <w:t>)</w:t>
      </w:r>
      <w:r>
        <w:t>.</w:t>
      </w:r>
    </w:p>
    <w:p w14:paraId="61C0143E" w14:textId="6956CA03" w:rsidR="00527F6A" w:rsidRDefault="00527F6A" w:rsidP="00D6222C">
      <w:pPr>
        <w:spacing w:after="240" w:line="276" w:lineRule="auto"/>
      </w:pPr>
      <w:r>
        <w:t xml:space="preserve">Where a DAPO imposes a positive requirement on the perpetrator, in addition to the above notification requirements, the perpetrator is subject to obligations to notify the person responsible for supervising compliance with that requirement of </w:t>
      </w:r>
      <w:r w:rsidR="0048733E">
        <w:t xml:space="preserve">a) </w:t>
      </w:r>
      <w:r>
        <w:t>any changes to their home address</w:t>
      </w:r>
      <w:r w:rsidR="008E097D">
        <w:t>;</w:t>
      </w:r>
      <w:r w:rsidR="001058CE">
        <w:t xml:space="preserve"> b)</w:t>
      </w:r>
      <w:r>
        <w:t xml:space="preserve"> if they cease to have a home address</w:t>
      </w:r>
      <w:r w:rsidR="005D30AB">
        <w:t>;</w:t>
      </w:r>
      <w:r>
        <w:t xml:space="preserve"> </w:t>
      </w:r>
      <w:r w:rsidR="00D6110A">
        <w:t xml:space="preserve">c) </w:t>
      </w:r>
      <w:r>
        <w:t xml:space="preserve">and/or any effect this could have on attending the programme </w:t>
      </w:r>
      <w:hyperlink r:id="rId43" w:history="1">
        <w:r>
          <w:rPr>
            <w:rStyle w:val="Hyperlink"/>
          </w:rPr>
          <w:t>(S</w:t>
        </w:r>
        <w:r w:rsidRPr="00886DC1">
          <w:rPr>
            <w:rStyle w:val="Hyperlink"/>
          </w:rPr>
          <w:t>ection 36(7)</w:t>
        </w:r>
        <w:r>
          <w:rPr>
            <w:rStyle w:val="Hyperlink"/>
          </w:rPr>
          <w:t>)</w:t>
        </w:r>
      </w:hyperlink>
      <w:r>
        <w:t xml:space="preserve">. The responsible </w:t>
      </w:r>
      <w:r w:rsidRPr="00D05624">
        <w:t xml:space="preserve">person </w:t>
      </w:r>
      <w:r w:rsidR="00A05F77">
        <w:t>will report on continued attendance as part of</w:t>
      </w:r>
      <w:r w:rsidRPr="00D05624">
        <w:t xml:space="preserve"> their compliance and non-compliance report</w:t>
      </w:r>
      <w:r w:rsidR="00A05F77">
        <w:t>ing to</w:t>
      </w:r>
      <w:r w:rsidRPr="00D05624">
        <w:t xml:space="preserve"> the police</w:t>
      </w:r>
      <w:r>
        <w:t xml:space="preserve"> </w:t>
      </w:r>
      <w:hyperlink r:id="rId44" w:history="1">
        <w:r>
          <w:rPr>
            <w:rStyle w:val="Hyperlink"/>
          </w:rPr>
          <w:t>(S</w:t>
        </w:r>
        <w:r w:rsidRPr="00D05624">
          <w:rPr>
            <w:rStyle w:val="Hyperlink"/>
          </w:rPr>
          <w:t>ection 36(5)</w:t>
        </w:r>
        <w:r>
          <w:rPr>
            <w:rStyle w:val="Hyperlink"/>
          </w:rPr>
          <w:t>)</w:t>
        </w:r>
      </w:hyperlink>
      <w:r w:rsidRPr="00D05624">
        <w:t xml:space="preserve">. </w:t>
      </w:r>
    </w:p>
    <w:p w14:paraId="378FD842" w14:textId="63A4A52A" w:rsidR="00527F6A" w:rsidRPr="006B5A61" w:rsidRDefault="00527F6A" w:rsidP="006B5A61">
      <w:pPr>
        <w:spacing w:after="240" w:line="276" w:lineRule="auto"/>
        <w:rPr>
          <w:highlight w:val="cyan"/>
        </w:rPr>
      </w:pPr>
      <w:r>
        <w:t xml:space="preserve">These </w:t>
      </w:r>
      <w:r w:rsidR="00D365F3">
        <w:t xml:space="preserve">perpetrator </w:t>
      </w:r>
      <w:r>
        <w:t xml:space="preserve">obligations have effect like any other requirement imposed by the DAPO. </w:t>
      </w:r>
    </w:p>
    <w:p w14:paraId="24682A5B" w14:textId="77777777" w:rsidR="00527F6A" w:rsidRPr="003127CB" w:rsidRDefault="00527F6A" w:rsidP="006B5A61">
      <w:pPr>
        <w:pStyle w:val="Heading2"/>
        <w:rPr>
          <w:rFonts w:ascii="Arial" w:hAnsi="Arial" w:cs="Arial"/>
          <w:color w:val="7030A0"/>
          <w:sz w:val="28"/>
          <w:szCs w:val="28"/>
        </w:rPr>
      </w:pPr>
      <w:bookmarkStart w:id="43" w:name="_Toc14776863"/>
      <w:bookmarkStart w:id="44" w:name="_Toc149810316"/>
      <w:bookmarkStart w:id="45" w:name="_Toc153264647"/>
      <w:bookmarkStart w:id="46" w:name="_Toc181202773"/>
      <w:r w:rsidRPr="003127CB">
        <w:rPr>
          <w:rFonts w:ascii="Arial" w:hAnsi="Arial" w:cs="Arial"/>
          <w:color w:val="7030A0"/>
          <w:sz w:val="28"/>
          <w:szCs w:val="28"/>
        </w:rPr>
        <w:t>Offences relating to notification</w:t>
      </w:r>
      <w:bookmarkEnd w:id="43"/>
      <w:bookmarkEnd w:id="44"/>
      <w:bookmarkEnd w:id="45"/>
      <w:bookmarkEnd w:id="46"/>
    </w:p>
    <w:p w14:paraId="4B2D9862" w14:textId="4DB1B3D0" w:rsidR="00527F6A" w:rsidRPr="0084718D" w:rsidRDefault="00527F6A" w:rsidP="006B5A61">
      <w:pPr>
        <w:pStyle w:val="BodyText"/>
        <w:spacing w:line="276" w:lineRule="auto"/>
        <w:rPr>
          <w:b/>
          <w:color w:val="8F23B3"/>
          <w:sz w:val="32"/>
          <w:szCs w:val="32"/>
        </w:rPr>
      </w:pPr>
      <w:r>
        <w:t>It is an offence if the perpetrator fails, without reasonable excuse, to comply with the notification requirements or if they provide information which they know to be false in purported compliance with those requirements</w:t>
      </w:r>
      <w:r w:rsidR="001E4F54">
        <w:t xml:space="preserve"> (section 43(</w:t>
      </w:r>
      <w:r w:rsidR="00F3525D">
        <w:t>1))</w:t>
      </w:r>
      <w:r>
        <w:t xml:space="preserve">. </w:t>
      </w:r>
    </w:p>
    <w:p w14:paraId="2F3BD1B4" w14:textId="793DBB46" w:rsidR="00527F6A" w:rsidRPr="0084718D" w:rsidRDefault="00527F6A" w:rsidP="006B5A61">
      <w:pPr>
        <w:pStyle w:val="BodyText"/>
        <w:spacing w:line="276" w:lineRule="auto"/>
        <w:rPr>
          <w:b/>
          <w:color w:val="8F23B3"/>
          <w:sz w:val="32"/>
          <w:szCs w:val="32"/>
        </w:rPr>
      </w:pPr>
      <w:r>
        <w:lastRenderedPageBreak/>
        <w:t xml:space="preserve">It is an offence if the perpetrator fails, without reasonable excuse, to allow the officer receiving their notification to verify their identity by taking their fingerprints and/or their photograph </w:t>
      </w:r>
      <w:hyperlink r:id="rId45" w:history="1">
        <w:r>
          <w:rPr>
            <w:rStyle w:val="Hyperlink"/>
          </w:rPr>
          <w:t>(S</w:t>
        </w:r>
        <w:r w:rsidRPr="004C29E1">
          <w:rPr>
            <w:rStyle w:val="Hyperlink"/>
          </w:rPr>
          <w:t>ection 43</w:t>
        </w:r>
        <w:r w:rsidR="00C35E12">
          <w:rPr>
            <w:rStyle w:val="Hyperlink"/>
          </w:rPr>
          <w:t>(2)</w:t>
        </w:r>
        <w:r>
          <w:rPr>
            <w:rStyle w:val="Hyperlink"/>
          </w:rPr>
          <w:t>)</w:t>
        </w:r>
      </w:hyperlink>
      <w:r>
        <w:t xml:space="preserve">. </w:t>
      </w:r>
    </w:p>
    <w:p w14:paraId="24E8A1A9" w14:textId="249ED58F" w:rsidR="00527F6A" w:rsidRPr="00254F47" w:rsidRDefault="00527F6A" w:rsidP="006B5A61">
      <w:pPr>
        <w:pStyle w:val="BodyText"/>
        <w:spacing w:line="276" w:lineRule="auto"/>
        <w:rPr>
          <w:b/>
          <w:color w:val="8F23B3"/>
          <w:sz w:val="32"/>
          <w:szCs w:val="32"/>
        </w:rPr>
      </w:pPr>
      <w:r>
        <w:t xml:space="preserve">The maximum penalty for breach of the notification </w:t>
      </w:r>
      <w:r w:rsidR="00C35E12">
        <w:t xml:space="preserve">requirements </w:t>
      </w:r>
      <w:r>
        <w:t xml:space="preserve">can, </w:t>
      </w:r>
      <w:r w:rsidRPr="00764D9B">
        <w:rPr>
          <w:b/>
          <w:bCs/>
        </w:rPr>
        <w:t>on summary conviction</w:t>
      </w:r>
      <w:r>
        <w:t>, carry the maximum imprisonment available in the magistrates’ court,</w:t>
      </w:r>
      <w:r w:rsidR="00914BAA">
        <w:t xml:space="preserve"> a fine</w:t>
      </w:r>
      <w:r w:rsidR="00A958C7">
        <w:t>,</w:t>
      </w:r>
      <w:r>
        <w:t xml:space="preserve"> or both</w:t>
      </w:r>
      <w:r w:rsidR="00DB580E">
        <w:t xml:space="preserve">. </w:t>
      </w:r>
      <w:r w:rsidR="00DB580E" w:rsidRPr="00764D9B">
        <w:rPr>
          <w:b/>
          <w:bCs/>
        </w:rPr>
        <w:t xml:space="preserve">On </w:t>
      </w:r>
      <w:r w:rsidR="009C38B8" w:rsidRPr="00764D9B">
        <w:rPr>
          <w:b/>
          <w:bCs/>
        </w:rPr>
        <w:t>conviction on indictment</w:t>
      </w:r>
      <w:r w:rsidR="00426189">
        <w:rPr>
          <w:b/>
          <w:bCs/>
        </w:rPr>
        <w:t xml:space="preserve">, </w:t>
      </w:r>
      <w:r w:rsidR="00BF42A4">
        <w:t xml:space="preserve">the maximum penalty </w:t>
      </w:r>
      <w:r w:rsidR="00EC4102">
        <w:t>is</w:t>
      </w:r>
      <w:r w:rsidR="0076513F">
        <w:t xml:space="preserve"> </w:t>
      </w:r>
      <w:r w:rsidR="0069753E" w:rsidRPr="0069753E">
        <w:t>imprisonment for a term not exceeding 5 years</w:t>
      </w:r>
      <w:r w:rsidR="00DD288D">
        <w:t xml:space="preserve">, </w:t>
      </w:r>
      <w:r w:rsidR="0069753E" w:rsidRPr="0069753E">
        <w:t>a fine, or both</w:t>
      </w:r>
      <w:r>
        <w:t xml:space="preserve"> </w:t>
      </w:r>
      <w:r w:rsidR="00384816">
        <w:t>(</w:t>
      </w:r>
      <w:hyperlink r:id="rId46" w:history="1">
        <w:r w:rsidR="00384816" w:rsidRPr="00B447A2">
          <w:rPr>
            <w:rStyle w:val="Hyperlink"/>
          </w:rPr>
          <w:t>section 43(3)</w:t>
        </w:r>
      </w:hyperlink>
      <w:r w:rsidR="00384816">
        <w:t>)</w:t>
      </w:r>
      <w:r>
        <w:t>.</w:t>
      </w:r>
    </w:p>
    <w:p w14:paraId="0B8E9DE0" w14:textId="075EE091" w:rsidR="00527F6A" w:rsidRPr="002626F0" w:rsidRDefault="00527F6A" w:rsidP="006B5A61">
      <w:pPr>
        <w:pStyle w:val="BodyText"/>
        <w:spacing w:line="276" w:lineRule="auto"/>
        <w:rPr>
          <w:b/>
          <w:color w:val="8F23B3"/>
          <w:sz w:val="32"/>
          <w:szCs w:val="32"/>
        </w:rPr>
      </w:pPr>
      <w:r>
        <w:t xml:space="preserve">Where the perpetrator fails to comply with the notification requirements, without reasonable excuse, they can only be prosecuted once for the same period of non-compliance </w:t>
      </w:r>
      <w:hyperlink r:id="rId47">
        <w:r w:rsidRPr="1DE4D09C">
          <w:rPr>
            <w:rStyle w:val="Hyperlink"/>
          </w:rPr>
          <w:t>(Section 43</w:t>
        </w:r>
        <w:r w:rsidR="00F672C0">
          <w:rPr>
            <w:rStyle w:val="Hyperlink"/>
          </w:rPr>
          <w:t>(6)</w:t>
        </w:r>
        <w:r w:rsidRPr="1DE4D09C">
          <w:rPr>
            <w:rStyle w:val="Hyperlink"/>
          </w:rPr>
          <w:t>)</w:t>
        </w:r>
      </w:hyperlink>
      <w:r>
        <w:t xml:space="preserve">. </w:t>
      </w:r>
      <w:r>
        <w:br w:type="page"/>
      </w:r>
    </w:p>
    <w:p w14:paraId="794B46CE" w14:textId="77777777" w:rsidR="00527F6A" w:rsidRPr="00AB487B" w:rsidRDefault="00527F6A" w:rsidP="00AB487B">
      <w:pPr>
        <w:pStyle w:val="Heading1briefing"/>
      </w:pPr>
      <w:bookmarkStart w:id="47" w:name="_Toc147759994"/>
      <w:bookmarkStart w:id="48" w:name="_Toc153264648"/>
      <w:bookmarkStart w:id="49" w:name="_Toc181202774"/>
      <w:r w:rsidRPr="00AB487B">
        <w:lastRenderedPageBreak/>
        <w:t>Variation or discharge of a DAPO</w:t>
      </w:r>
      <w:bookmarkEnd w:id="47"/>
      <w:bookmarkEnd w:id="48"/>
      <w:bookmarkEnd w:id="49"/>
    </w:p>
    <w:p w14:paraId="57E84206" w14:textId="540D3B27" w:rsidR="00527F6A" w:rsidRDefault="00527F6A" w:rsidP="006B5A61">
      <w:pPr>
        <w:pStyle w:val="BodyText"/>
        <w:spacing w:line="276" w:lineRule="auto"/>
      </w:pPr>
      <w:r>
        <w:t xml:space="preserve">An application to vary </w:t>
      </w:r>
      <w:r w:rsidR="000D22D5">
        <w:t xml:space="preserve">or discharge </w:t>
      </w:r>
      <w:r>
        <w:t xml:space="preserve">a DAPO, including a request to extend an electronic monitoring requirement can be submitted by </w:t>
      </w:r>
      <w:hyperlink r:id="rId48" w:history="1">
        <w:r>
          <w:rPr>
            <w:rStyle w:val="Hyperlink"/>
          </w:rPr>
          <w:t>(S</w:t>
        </w:r>
        <w:r w:rsidRPr="003E3D0F">
          <w:rPr>
            <w:rStyle w:val="Hyperlink"/>
          </w:rPr>
          <w:t>ection 44 (1-3)</w:t>
        </w:r>
        <w:r>
          <w:rPr>
            <w:rStyle w:val="Hyperlink"/>
          </w:rPr>
          <w:t>)</w:t>
        </w:r>
      </w:hyperlink>
      <w:r>
        <w:t>:</w:t>
      </w:r>
    </w:p>
    <w:p w14:paraId="0439BD52" w14:textId="77777777" w:rsidR="00527F6A" w:rsidRDefault="00527F6A" w:rsidP="00CD3F30">
      <w:pPr>
        <w:pStyle w:val="BodyText"/>
        <w:numPr>
          <w:ilvl w:val="3"/>
          <w:numId w:val="20"/>
        </w:numPr>
        <w:spacing w:line="276" w:lineRule="auto"/>
        <w:ind w:left="1560" w:hanging="426"/>
      </w:pPr>
      <w:r>
        <w:t xml:space="preserve">The person for whose protection the order was </w:t>
      </w:r>
      <w:proofErr w:type="gramStart"/>
      <w:r>
        <w:t>made;</w:t>
      </w:r>
      <w:proofErr w:type="gramEnd"/>
    </w:p>
    <w:p w14:paraId="36209DCD" w14:textId="77777777" w:rsidR="00527F6A" w:rsidRDefault="00527F6A" w:rsidP="00CD3F30">
      <w:pPr>
        <w:pStyle w:val="BodyText"/>
        <w:numPr>
          <w:ilvl w:val="3"/>
          <w:numId w:val="20"/>
        </w:numPr>
        <w:spacing w:line="276" w:lineRule="auto"/>
        <w:ind w:left="1560" w:hanging="426"/>
      </w:pPr>
      <w:r>
        <w:t xml:space="preserve">The person against whom the order was made, the </w:t>
      </w:r>
      <w:proofErr w:type="gramStart"/>
      <w:r>
        <w:t>perpetrator;</w:t>
      </w:r>
      <w:proofErr w:type="gramEnd"/>
      <w:r>
        <w:t xml:space="preserve"> </w:t>
      </w:r>
    </w:p>
    <w:p w14:paraId="1C527EFE" w14:textId="0C5D4F6A" w:rsidR="00527F6A" w:rsidRDefault="00527F6A" w:rsidP="00CD3F30">
      <w:pPr>
        <w:pStyle w:val="BodyText"/>
        <w:numPr>
          <w:ilvl w:val="3"/>
          <w:numId w:val="20"/>
        </w:numPr>
        <w:spacing w:line="276" w:lineRule="auto"/>
        <w:ind w:left="1560" w:hanging="426"/>
      </w:pPr>
      <w:r>
        <w:t xml:space="preserve">Where the order was made </w:t>
      </w:r>
      <w:r w:rsidR="00E66FB0">
        <w:t>under</w:t>
      </w:r>
      <w:r w:rsidR="00E66FB0">
        <w:rPr>
          <w:rStyle w:val="Hyperlink"/>
        </w:rPr>
        <w:t xml:space="preserve"> section </w:t>
      </w:r>
      <w:r w:rsidR="001F1892">
        <w:rPr>
          <w:rStyle w:val="Hyperlink"/>
        </w:rPr>
        <w:t>28</w:t>
      </w:r>
      <w:r>
        <w:t xml:space="preserve">, the person who applied for the </w:t>
      </w:r>
      <w:proofErr w:type="gramStart"/>
      <w:r>
        <w:t>order;</w:t>
      </w:r>
      <w:proofErr w:type="gramEnd"/>
    </w:p>
    <w:p w14:paraId="23DE8E9F" w14:textId="77777777" w:rsidR="00527F6A" w:rsidRDefault="00527F6A" w:rsidP="00CD3F30">
      <w:pPr>
        <w:pStyle w:val="BodyText"/>
        <w:numPr>
          <w:ilvl w:val="3"/>
          <w:numId w:val="20"/>
        </w:numPr>
        <w:spacing w:line="276" w:lineRule="auto"/>
        <w:ind w:left="1560" w:hanging="426"/>
      </w:pPr>
      <w:r>
        <w:t xml:space="preserve">The chief officer of police of the force maintained for any police area in which the perpetrator </w:t>
      </w:r>
      <w:proofErr w:type="gramStart"/>
      <w:r>
        <w:t>resides;</w:t>
      </w:r>
      <w:proofErr w:type="gramEnd"/>
    </w:p>
    <w:p w14:paraId="2C123404" w14:textId="77777777" w:rsidR="00527F6A" w:rsidRPr="00953085" w:rsidRDefault="00527F6A" w:rsidP="00CD3F30">
      <w:pPr>
        <w:pStyle w:val="BodyText"/>
        <w:numPr>
          <w:ilvl w:val="3"/>
          <w:numId w:val="20"/>
        </w:numPr>
        <w:spacing w:line="276" w:lineRule="auto"/>
        <w:ind w:left="1560" w:hanging="426"/>
      </w:pPr>
      <w:r>
        <w:t xml:space="preserve">The chief officer of police of any other force maintained for a police area who believes that the perpetrator is in that police area or intending to come to it. </w:t>
      </w:r>
      <w:r>
        <w:rPr>
          <w:b/>
          <w:bCs/>
        </w:rPr>
        <w:t>For the pilot this will only be applicable where the perpetrator resides in a piloting force as only the chief officer for a piloting police force area can apply to vary or discharge the DAPO.</w:t>
      </w:r>
    </w:p>
    <w:p w14:paraId="51625784" w14:textId="2610429B" w:rsidR="00527F6A" w:rsidRDefault="00527F6A" w:rsidP="006B5A61">
      <w:pPr>
        <w:pStyle w:val="BodyText"/>
        <w:spacing w:line="276" w:lineRule="auto"/>
      </w:pPr>
      <w:r w:rsidRPr="003A64E0">
        <w:t xml:space="preserve">For the pilot, </w:t>
      </w:r>
      <w:r w:rsidR="008431D4">
        <w:t xml:space="preserve">where police are seeking to vary </w:t>
      </w:r>
      <w:r w:rsidR="00AC3C3E">
        <w:t xml:space="preserve">or discharge </w:t>
      </w:r>
      <w:r w:rsidR="008431D4">
        <w:t xml:space="preserve">an order, </w:t>
      </w:r>
      <w:r w:rsidRPr="003A64E0">
        <w:t xml:space="preserve">only the chief officer of police for the piloting forces can apply to vary </w:t>
      </w:r>
      <w:r w:rsidR="00AC3C3E">
        <w:t xml:space="preserve">or discharge </w:t>
      </w:r>
      <w:r w:rsidRPr="003A64E0">
        <w:t xml:space="preserve">the order, even if the perpetrator resides in another force area. If, in these instances, the force where the perpetrator resides wishes to vary </w:t>
      </w:r>
      <w:r w:rsidR="00EB6DA2">
        <w:t xml:space="preserve">or discharge </w:t>
      </w:r>
      <w:r w:rsidRPr="003A64E0">
        <w:t>the order, they much get in touch with the piloting police force who originally applied for the DAPO.</w:t>
      </w:r>
    </w:p>
    <w:p w14:paraId="44C44988" w14:textId="77777777" w:rsidR="00527F6A" w:rsidRDefault="00527F6A" w:rsidP="006B5A61">
      <w:pPr>
        <w:pStyle w:val="BodyText"/>
        <w:spacing w:line="276" w:lineRule="auto"/>
      </w:pPr>
      <w:r w:rsidRPr="004D592D">
        <w:t xml:space="preserve">The application to vary or discharge the DAPO must be made to the appropriate court, which varies depending on the circumstances in which the DAPO was originally made. </w:t>
      </w:r>
    </w:p>
    <w:p w14:paraId="3945B36F" w14:textId="72BC4C21" w:rsidR="00527F6A" w:rsidRPr="007977CB" w:rsidRDefault="00527F6A" w:rsidP="006B5A61">
      <w:pPr>
        <w:pStyle w:val="BodyText"/>
        <w:spacing w:line="276" w:lineRule="auto"/>
      </w:pPr>
      <w:r>
        <w:rPr>
          <w:rFonts w:cs="Arial"/>
        </w:rPr>
        <w:t>A</w:t>
      </w:r>
      <w:r w:rsidRPr="007977CB">
        <w:rPr>
          <w:rFonts w:cs="Arial"/>
        </w:rPr>
        <w:t xml:space="preserve">ny application to vary </w:t>
      </w:r>
      <w:r w:rsidRPr="007977CB">
        <w:rPr>
          <w:rFonts w:cs="Arial"/>
          <w:shd w:val="clear" w:color="auto" w:fill="FFFFFF"/>
        </w:rPr>
        <w:t xml:space="preserve">or discharge a </w:t>
      </w:r>
      <w:r>
        <w:rPr>
          <w:rFonts w:cs="Arial"/>
          <w:shd w:val="clear" w:color="auto" w:fill="FFFFFF"/>
        </w:rPr>
        <w:t>DAPO</w:t>
      </w:r>
      <w:r w:rsidRPr="007977CB">
        <w:rPr>
          <w:rFonts w:cs="Arial"/>
          <w:shd w:val="clear" w:color="auto" w:fill="FFFFFF"/>
        </w:rPr>
        <w:t xml:space="preserve"> must be made to the court that made the order, subject to some exceptions</w:t>
      </w:r>
      <w:r>
        <w:rPr>
          <w:rFonts w:cs="Arial"/>
          <w:shd w:val="clear" w:color="auto" w:fill="FFFFFF"/>
        </w:rPr>
        <w:t xml:space="preserve"> </w:t>
      </w:r>
      <w:hyperlink r:id="rId49" w:history="1">
        <w:r>
          <w:rPr>
            <w:rStyle w:val="Hyperlink"/>
            <w:rFonts w:cs="Arial"/>
          </w:rPr>
          <w:t>(S</w:t>
        </w:r>
        <w:r w:rsidRPr="00930F19">
          <w:rPr>
            <w:rStyle w:val="Hyperlink"/>
            <w:rFonts w:cs="Arial"/>
          </w:rPr>
          <w:t xml:space="preserve">ection </w:t>
        </w:r>
        <w:r w:rsidR="00B961E7">
          <w:rPr>
            <w:rStyle w:val="Hyperlink"/>
            <w:rFonts w:cs="Arial"/>
          </w:rPr>
          <w:t xml:space="preserve"> 4</w:t>
        </w:r>
        <w:r w:rsidRPr="00930F19">
          <w:rPr>
            <w:rStyle w:val="Hyperlink"/>
            <w:rFonts w:cs="Arial"/>
          </w:rPr>
          <w:t>5</w:t>
        </w:r>
        <w:r>
          <w:rPr>
            <w:rStyle w:val="Hyperlink"/>
            <w:rFonts w:cs="Arial"/>
          </w:rPr>
          <w:t xml:space="preserve"> </w:t>
        </w:r>
        <w:r w:rsidRPr="00930F19">
          <w:rPr>
            <w:rStyle w:val="Hyperlink"/>
            <w:rFonts w:cs="Arial"/>
          </w:rPr>
          <w:t>(1</w:t>
        </w:r>
        <w:r>
          <w:rPr>
            <w:rStyle w:val="Hyperlink"/>
            <w:rFonts w:cs="Arial"/>
          </w:rPr>
          <w:t>-3</w:t>
        </w:r>
        <w:r w:rsidRPr="00930F19">
          <w:rPr>
            <w:rStyle w:val="Hyperlink"/>
            <w:rFonts w:cs="Arial"/>
          </w:rPr>
          <w:t>)</w:t>
        </w:r>
        <w:r>
          <w:rPr>
            <w:rStyle w:val="Hyperlink"/>
            <w:rFonts w:cs="Arial"/>
          </w:rPr>
          <w:t>)</w:t>
        </w:r>
      </w:hyperlink>
      <w:r w:rsidRPr="004D592D">
        <w:t>.</w:t>
      </w:r>
    </w:p>
    <w:p w14:paraId="420178AC" w14:textId="2F18B10A" w:rsidR="00527F6A" w:rsidRPr="00D8481B" w:rsidRDefault="00527F6A" w:rsidP="006B5A61">
      <w:pPr>
        <w:pStyle w:val="BodyText"/>
        <w:spacing w:line="276" w:lineRule="auto"/>
      </w:pPr>
      <w:r>
        <w:rPr>
          <w:rFonts w:cs="Arial"/>
        </w:rPr>
        <w:t>The</w:t>
      </w:r>
      <w:r w:rsidRPr="007977CB">
        <w:rPr>
          <w:rFonts w:cs="Arial"/>
        </w:rPr>
        <w:t xml:space="preserve"> court can also vary or discharge the DAPO of its own volition </w:t>
      </w:r>
      <w:hyperlink r:id="rId50" w:history="1">
        <w:r>
          <w:rPr>
            <w:rStyle w:val="Hyperlink"/>
            <w:rFonts w:cs="Arial"/>
          </w:rPr>
          <w:t>(S</w:t>
        </w:r>
        <w:r w:rsidRPr="007977CB">
          <w:rPr>
            <w:rStyle w:val="Hyperlink"/>
            <w:rFonts w:cs="Arial"/>
          </w:rPr>
          <w:t>ection 44(2)(b)</w:t>
        </w:r>
        <w:r>
          <w:rPr>
            <w:rStyle w:val="Hyperlink"/>
            <w:rFonts w:cs="Arial"/>
          </w:rPr>
          <w:t>)</w:t>
        </w:r>
      </w:hyperlink>
      <w:r>
        <w:rPr>
          <w:rStyle w:val="Hyperlink"/>
          <w:rFonts w:cs="Arial"/>
        </w:rPr>
        <w:t xml:space="preserve"> </w:t>
      </w:r>
      <w:r w:rsidRPr="007977CB">
        <w:rPr>
          <w:rFonts w:cs="Arial"/>
        </w:rPr>
        <w:t>in any case in which it could make a DAPO of its own initiative</w:t>
      </w:r>
      <w:r w:rsidR="008B6F98">
        <w:rPr>
          <w:rFonts w:cs="Arial"/>
        </w:rPr>
        <w:t xml:space="preserve"> under section </w:t>
      </w:r>
      <w:r w:rsidR="00890523">
        <w:rPr>
          <w:rFonts w:cs="Arial"/>
        </w:rPr>
        <w:t>29</w:t>
      </w:r>
      <w:r w:rsidRPr="00025E74">
        <w:rPr>
          <w:rStyle w:val="FootnoteReference"/>
          <w:rFonts w:cs="Arial"/>
        </w:rPr>
        <w:footnoteReference w:id="13"/>
      </w:r>
      <w:r w:rsidRPr="007977CB">
        <w:rPr>
          <w:rFonts w:cs="Arial"/>
        </w:rPr>
        <w:t>.</w:t>
      </w:r>
    </w:p>
    <w:p w14:paraId="4D7F4609" w14:textId="3236FBB5" w:rsidR="00527F6A" w:rsidRDefault="00527F6A" w:rsidP="00E34C45">
      <w:pPr>
        <w:pStyle w:val="BodyText"/>
        <w:spacing w:line="276" w:lineRule="auto"/>
      </w:pPr>
      <w:r>
        <w:t>C</w:t>
      </w:r>
      <w:r w:rsidRPr="00D8481B">
        <w:t>ourt</w:t>
      </w:r>
      <w:r>
        <w:t xml:space="preserve"> rules</w:t>
      </w:r>
      <w:r w:rsidRPr="00D8481B">
        <w:t xml:space="preserve"> set out who should serve the order. The Rules are different depending</w:t>
      </w:r>
      <w:r>
        <w:t xml:space="preserve"> on</w:t>
      </w:r>
      <w:r w:rsidRPr="00D8481B">
        <w:t xml:space="preserve"> wh</w:t>
      </w:r>
      <w:r w:rsidR="00196D00">
        <w:t>ich</w:t>
      </w:r>
      <w:r w:rsidR="009C70B6">
        <w:t xml:space="preserve"> court made</w:t>
      </w:r>
      <w:r w:rsidRPr="00D8481B">
        <w:t xml:space="preserve"> the original order</w:t>
      </w:r>
      <w:r w:rsidR="00686B22">
        <w:t>.</w:t>
      </w:r>
      <w:r w:rsidRPr="00D8481B" w:rsidDel="003C6AED">
        <w:t xml:space="preserve"> </w:t>
      </w:r>
      <w:r w:rsidRPr="00D8481B">
        <w:t xml:space="preserve">In </w:t>
      </w:r>
      <w:r w:rsidR="00345E6E">
        <w:t>police-led</w:t>
      </w:r>
      <w:r w:rsidR="008D29A0">
        <w:t xml:space="preserve"> </w:t>
      </w:r>
      <w:r w:rsidRPr="00D8481B">
        <w:t xml:space="preserve">proceedings taking place in the magistrates’ court, the police are responsible for serving the </w:t>
      </w:r>
      <w:r>
        <w:t xml:space="preserve">perpetrator the </w:t>
      </w:r>
      <w:r w:rsidRPr="00D8481B">
        <w:t>order.</w:t>
      </w:r>
    </w:p>
    <w:p w14:paraId="26AEA229" w14:textId="77777777" w:rsidR="00527F6A" w:rsidRPr="00E27E2C" w:rsidRDefault="00527F6A" w:rsidP="00E34C45">
      <w:pPr>
        <w:pStyle w:val="BodyText"/>
        <w:spacing w:line="276" w:lineRule="auto"/>
      </w:pPr>
      <w:r w:rsidRPr="00D8481B" w:rsidDel="007420B0">
        <w:rPr>
          <w:rFonts w:cs="Arial"/>
        </w:rPr>
        <w:lastRenderedPageBreak/>
        <w:t>Where a DAPO has been varied without notice</w:t>
      </w:r>
      <w:r w:rsidRPr="00D8481B">
        <w:rPr>
          <w:rFonts w:cs="Arial"/>
        </w:rPr>
        <w:t xml:space="preserve">, it must be served on the perpetrator before it can be enforced. </w:t>
      </w:r>
    </w:p>
    <w:p w14:paraId="2C444340" w14:textId="77F47304" w:rsidR="00EE5E90" w:rsidRPr="00EE5E90" w:rsidRDefault="00527F6A" w:rsidP="00E34C45">
      <w:pPr>
        <w:pStyle w:val="BodyText"/>
        <w:spacing w:line="276" w:lineRule="auto"/>
        <w:rPr>
          <w:rFonts w:cs="Arial"/>
        </w:rPr>
      </w:pPr>
      <w:r w:rsidRPr="006D3956">
        <w:rPr>
          <w:rStyle w:val="Hyperlink"/>
          <w:rFonts w:cs="Arial"/>
          <w:color w:val="auto"/>
          <w:u w:val="none"/>
        </w:rPr>
        <w:t>A</w:t>
      </w:r>
      <w:r w:rsidRPr="00D8481B">
        <w:rPr>
          <w:rFonts w:cs="Arial"/>
        </w:rPr>
        <w:t xml:space="preserve"> perpetrator who breaches a varied DAPO will not have committed an offence unless and until they are aware of the making of the variation, and, if, in the absence of the variation, their behaviour would not have constituted an offence</w:t>
      </w:r>
      <w:r>
        <w:rPr>
          <w:rFonts w:cs="Arial"/>
        </w:rPr>
        <w:t xml:space="preserve"> </w:t>
      </w:r>
      <w:hyperlink r:id="rId51">
        <w:r>
          <w:rPr>
            <w:rStyle w:val="Hyperlink"/>
            <w:rFonts w:cs="Arial"/>
          </w:rPr>
          <w:t>(S</w:t>
        </w:r>
        <w:r w:rsidRPr="009B38B7">
          <w:rPr>
            <w:rStyle w:val="Hyperlink"/>
            <w:rFonts w:cs="Arial"/>
          </w:rPr>
          <w:t>ection 45(9)</w:t>
        </w:r>
        <w:r>
          <w:rPr>
            <w:rStyle w:val="Hyperlink"/>
            <w:rFonts w:cs="Arial"/>
          </w:rPr>
          <w:t>)</w:t>
        </w:r>
      </w:hyperlink>
      <w:r w:rsidRPr="00D8481B">
        <w:rPr>
          <w:rFonts w:cs="Arial"/>
        </w:rPr>
        <w:t xml:space="preserve">. </w:t>
      </w:r>
    </w:p>
    <w:p w14:paraId="50DA406E" w14:textId="0A21F4A4" w:rsidR="00527F6A" w:rsidRDefault="00527F6A" w:rsidP="00E34C45">
      <w:pPr>
        <w:pStyle w:val="NormalWeb"/>
        <w:spacing w:before="0" w:beforeAutospacing="0" w:after="240" w:afterAutospacing="0" w:line="276" w:lineRule="auto"/>
        <w:rPr>
          <w:rFonts w:ascii="Arial" w:hAnsi="Arial"/>
        </w:rPr>
      </w:pPr>
      <w:r>
        <w:rPr>
          <w:rFonts w:ascii="Arial" w:hAnsi="Arial"/>
        </w:rPr>
        <w:t>When deciding whether to vary or discharge a DAPO, the court must hear from the chief officer of police, if they wish to be heard</w:t>
      </w:r>
      <w:r w:rsidR="00D52A44">
        <w:rPr>
          <w:rFonts w:ascii="Arial" w:hAnsi="Arial"/>
        </w:rPr>
        <w:t xml:space="preserve"> (section </w:t>
      </w:r>
      <w:r w:rsidR="00963008">
        <w:rPr>
          <w:rFonts w:ascii="Arial" w:hAnsi="Arial"/>
        </w:rPr>
        <w:t>44(4)(a) and (5)</w:t>
      </w:r>
      <w:r>
        <w:rPr>
          <w:rFonts w:ascii="Arial" w:hAnsi="Arial"/>
        </w:rPr>
        <w:t>:</w:t>
      </w:r>
    </w:p>
    <w:p w14:paraId="5FE69F17" w14:textId="77777777" w:rsidR="00527F6A" w:rsidRDefault="00527F6A" w:rsidP="00CD3F30">
      <w:pPr>
        <w:pStyle w:val="NormalWeb"/>
        <w:numPr>
          <w:ilvl w:val="0"/>
          <w:numId w:val="21"/>
        </w:numPr>
        <w:spacing w:before="0" w:beforeAutospacing="0" w:after="240" w:afterAutospacing="0" w:line="276" w:lineRule="auto"/>
        <w:ind w:left="1560" w:hanging="426"/>
        <w:rPr>
          <w:rFonts w:ascii="Arial" w:hAnsi="Arial"/>
        </w:rPr>
      </w:pPr>
      <w:r>
        <w:rPr>
          <w:rFonts w:ascii="Arial" w:hAnsi="Arial"/>
        </w:rPr>
        <w:t xml:space="preserve">who applied for the </w:t>
      </w:r>
      <w:proofErr w:type="gramStart"/>
      <w:r>
        <w:rPr>
          <w:rFonts w:ascii="Arial" w:hAnsi="Arial"/>
        </w:rPr>
        <w:t>DAPO;</w:t>
      </w:r>
      <w:proofErr w:type="gramEnd"/>
    </w:p>
    <w:p w14:paraId="2D721B1C" w14:textId="77777777" w:rsidR="00527F6A" w:rsidRPr="004D5D2C" w:rsidRDefault="00527F6A" w:rsidP="00CD3F30">
      <w:pPr>
        <w:pStyle w:val="NormalWeb"/>
        <w:numPr>
          <w:ilvl w:val="0"/>
          <w:numId w:val="21"/>
        </w:numPr>
        <w:spacing w:before="0" w:beforeAutospacing="0" w:after="240" w:afterAutospacing="0" w:line="276" w:lineRule="auto"/>
        <w:ind w:left="1560" w:hanging="426"/>
        <w:rPr>
          <w:rFonts w:ascii="Arial" w:hAnsi="Arial"/>
        </w:rPr>
      </w:pPr>
      <w:r w:rsidRPr="0C576D62">
        <w:rPr>
          <w:rFonts w:ascii="Arial" w:hAnsi="Arial"/>
        </w:rPr>
        <w:t>for the police force area where the perpetrator</w:t>
      </w:r>
      <w:r>
        <w:rPr>
          <w:rFonts w:ascii="Arial" w:hAnsi="Arial"/>
        </w:rPr>
        <w:t xml:space="preserve"> </w:t>
      </w:r>
      <w:r w:rsidRPr="0C576D62">
        <w:rPr>
          <w:rFonts w:ascii="Arial" w:hAnsi="Arial"/>
        </w:rPr>
        <w:t>resides, or where they believe the perpetrator</w:t>
      </w:r>
      <w:r>
        <w:rPr>
          <w:rFonts w:ascii="Arial" w:hAnsi="Arial"/>
        </w:rPr>
        <w:t xml:space="preserve"> </w:t>
      </w:r>
      <w:r w:rsidRPr="0C576D62">
        <w:rPr>
          <w:rFonts w:ascii="Arial" w:hAnsi="Arial"/>
        </w:rPr>
        <w:t xml:space="preserve">is or is intending to come to, </w:t>
      </w:r>
      <w:r w:rsidRPr="0C576D62">
        <w:rPr>
          <w:rFonts w:ascii="Arial" w:hAnsi="Arial"/>
          <w:b/>
          <w:bCs/>
        </w:rPr>
        <w:t>even if they did not originally apply for the DAPO</w:t>
      </w:r>
      <w:r w:rsidRPr="0C576D62">
        <w:rPr>
          <w:rFonts w:ascii="Arial" w:hAnsi="Arial"/>
        </w:rPr>
        <w:t>.</w:t>
      </w:r>
      <w:r>
        <w:rPr>
          <w:rFonts w:ascii="Arial" w:hAnsi="Arial"/>
        </w:rPr>
        <w:t xml:space="preserve"> </w:t>
      </w:r>
    </w:p>
    <w:p w14:paraId="0D86CE47" w14:textId="77777777"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The court </w:t>
      </w:r>
      <w:r>
        <w:rPr>
          <w:rFonts w:ascii="Arial" w:hAnsi="Arial"/>
          <w:u w:val="single"/>
        </w:rPr>
        <w:t>must</w:t>
      </w:r>
      <w:r>
        <w:rPr>
          <w:rFonts w:ascii="Arial" w:hAnsi="Arial"/>
        </w:rPr>
        <w:t xml:space="preserve"> hear from t</w:t>
      </w:r>
      <w:r w:rsidRPr="006542C0">
        <w:rPr>
          <w:rFonts w:ascii="Arial" w:hAnsi="Arial"/>
        </w:rPr>
        <w:t xml:space="preserve">he </w:t>
      </w:r>
      <w:r>
        <w:rPr>
          <w:rFonts w:ascii="Arial" w:hAnsi="Arial"/>
        </w:rPr>
        <w:t>v</w:t>
      </w:r>
      <w:r w:rsidRPr="006542C0">
        <w:rPr>
          <w:rFonts w:ascii="Arial" w:hAnsi="Arial"/>
        </w:rPr>
        <w:t>ictim</w:t>
      </w:r>
      <w:r>
        <w:rPr>
          <w:rFonts w:ascii="Arial" w:hAnsi="Arial"/>
        </w:rPr>
        <w:t>, in cases where</w:t>
      </w:r>
      <w:r w:rsidRPr="006542C0">
        <w:rPr>
          <w:rFonts w:ascii="Arial" w:hAnsi="Arial"/>
        </w:rPr>
        <w:t xml:space="preserve"> the victim is seeking to discharge the DAPO, remove any requirements, or make any of the requirements less onerous on the perpetrator</w:t>
      </w:r>
      <w:r>
        <w:rPr>
          <w:rFonts w:ascii="Arial" w:hAnsi="Arial"/>
        </w:rPr>
        <w:t xml:space="preserve"> </w:t>
      </w:r>
      <w:hyperlink r:id="rId52" w:history="1">
        <w:r>
          <w:rPr>
            <w:rStyle w:val="Hyperlink"/>
          </w:rPr>
          <w:t>(S</w:t>
        </w:r>
        <w:r w:rsidRPr="00BB7F8A">
          <w:rPr>
            <w:rStyle w:val="Hyperlink"/>
          </w:rPr>
          <w:t>ection 44 (4)(b)</w:t>
        </w:r>
      </w:hyperlink>
      <w:r>
        <w:rPr>
          <w:rStyle w:val="Hyperlink"/>
        </w:rPr>
        <w:t>)</w:t>
      </w:r>
      <w:r>
        <w:rPr>
          <w:rFonts w:ascii="Arial" w:hAnsi="Arial"/>
        </w:rPr>
        <w:t>. This</w:t>
      </w:r>
      <w:r w:rsidRPr="006542C0">
        <w:rPr>
          <w:rFonts w:ascii="Arial" w:hAnsi="Arial"/>
        </w:rPr>
        <w:t xml:space="preserve"> guards against circumstances in which the </w:t>
      </w:r>
      <w:r>
        <w:rPr>
          <w:rFonts w:ascii="Arial" w:hAnsi="Arial"/>
        </w:rPr>
        <w:t>victim</w:t>
      </w:r>
      <w:r w:rsidRPr="006542C0">
        <w:rPr>
          <w:rFonts w:ascii="Arial" w:hAnsi="Arial"/>
        </w:rPr>
        <w:t xml:space="preserve"> is coerced by the perpetrator to vary or discharge the DAPO</w:t>
      </w:r>
      <w:r>
        <w:rPr>
          <w:rFonts w:ascii="Arial" w:hAnsi="Arial"/>
        </w:rPr>
        <w:t>.</w:t>
      </w:r>
    </w:p>
    <w:p w14:paraId="07A429C0" w14:textId="0BAC35CB"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Where an application to vary </w:t>
      </w:r>
      <w:r w:rsidR="007868A2">
        <w:rPr>
          <w:rFonts w:ascii="Arial" w:hAnsi="Arial"/>
        </w:rPr>
        <w:t xml:space="preserve">or discharge </w:t>
      </w:r>
      <w:r>
        <w:rPr>
          <w:rFonts w:ascii="Arial" w:hAnsi="Arial"/>
        </w:rPr>
        <w:t xml:space="preserve">a DAPO is </w:t>
      </w:r>
      <w:r w:rsidR="00F42F5F">
        <w:rPr>
          <w:rFonts w:ascii="Arial" w:hAnsi="Arial"/>
        </w:rPr>
        <w:t>granted</w:t>
      </w:r>
      <w:r>
        <w:rPr>
          <w:rFonts w:ascii="Arial" w:hAnsi="Arial"/>
        </w:rPr>
        <w:t xml:space="preserve"> in a family court, police will receive a notification to a designated inbox </w:t>
      </w:r>
      <w:r w:rsidR="00F42F5F">
        <w:rPr>
          <w:rFonts w:ascii="Arial" w:hAnsi="Arial"/>
        </w:rPr>
        <w:t>(</w:t>
      </w:r>
      <w:r>
        <w:rPr>
          <w:rFonts w:ascii="Arial" w:hAnsi="Arial"/>
        </w:rPr>
        <w:t>detailing the DAPO conditions following the variation</w:t>
      </w:r>
      <w:r w:rsidR="00A20256">
        <w:rPr>
          <w:rFonts w:ascii="Arial" w:hAnsi="Arial"/>
        </w:rPr>
        <w:t xml:space="preserve"> or discharge of the DAPO)</w:t>
      </w:r>
      <w:r>
        <w:rPr>
          <w:rFonts w:ascii="Arial" w:hAnsi="Arial"/>
        </w:rPr>
        <w:t>. Police are expected to then update the PNC accordingly to reflect the new DAPO conditions</w:t>
      </w:r>
      <w:r w:rsidR="000118E8">
        <w:rPr>
          <w:rFonts w:ascii="Arial" w:hAnsi="Arial"/>
        </w:rPr>
        <w:t xml:space="preserve"> or discharge</w:t>
      </w:r>
      <w:r>
        <w:rPr>
          <w:rFonts w:ascii="Arial" w:hAnsi="Arial"/>
        </w:rPr>
        <w:t xml:space="preserve">.  </w:t>
      </w:r>
    </w:p>
    <w:p w14:paraId="3FE267D1" w14:textId="77ED60F4" w:rsidR="00527F6A" w:rsidRPr="005241CF" w:rsidRDefault="00527F6A" w:rsidP="00E34C45">
      <w:pPr>
        <w:pStyle w:val="NormalWeb"/>
        <w:spacing w:before="0" w:beforeAutospacing="0" w:after="240" w:afterAutospacing="0" w:line="276" w:lineRule="auto"/>
        <w:rPr>
          <w:rFonts w:ascii="Arial" w:hAnsi="Arial"/>
          <w:highlight w:val="cyan"/>
        </w:rPr>
      </w:pPr>
      <w:r w:rsidRPr="009863BB">
        <w:rPr>
          <w:rFonts w:ascii="Arial" w:hAnsi="Arial"/>
        </w:rPr>
        <w:t xml:space="preserve">These provisions mean that, where they wish to do so, the police are still able to put forward relevant evidence or intelligence which they may have regarding the level of risk posed to the </w:t>
      </w:r>
      <w:r>
        <w:rPr>
          <w:rFonts w:ascii="Arial" w:hAnsi="Arial"/>
        </w:rPr>
        <w:t>victim</w:t>
      </w:r>
      <w:r w:rsidRPr="009863BB">
        <w:rPr>
          <w:rFonts w:ascii="Arial" w:hAnsi="Arial"/>
        </w:rPr>
        <w:t xml:space="preserve"> by the perpetrator or the nature of their abusive behaviour, even where the police have not previously been involved in the case (for example, if they were not the party who applied for the DAPO). </w:t>
      </w:r>
    </w:p>
    <w:p w14:paraId="772C7CC2" w14:textId="77777777" w:rsidR="00527F6A" w:rsidRPr="009863BB" w:rsidRDefault="00527F6A" w:rsidP="00E34C45">
      <w:pPr>
        <w:pStyle w:val="NormalWeb"/>
        <w:spacing w:before="0" w:beforeAutospacing="0" w:after="240" w:afterAutospacing="0" w:line="276" w:lineRule="auto"/>
        <w:rPr>
          <w:rFonts w:ascii="Arial" w:hAnsi="Arial" w:cs="Arial"/>
        </w:rPr>
      </w:pPr>
      <w:r w:rsidRPr="009863BB">
        <w:rPr>
          <w:rFonts w:ascii="Arial" w:hAnsi="Arial" w:cs="Arial"/>
        </w:rPr>
        <w:t>If the court is satisfied that varying the DAPO is necessary to protect the person</w:t>
      </w:r>
      <w:r w:rsidRPr="009863BB" w:rsidDel="000C00DD">
        <w:rPr>
          <w:rFonts w:ascii="Arial" w:hAnsi="Arial" w:cs="Arial"/>
        </w:rPr>
        <w:t xml:space="preserve"> </w:t>
      </w:r>
      <w:r w:rsidRPr="009863BB">
        <w:rPr>
          <w:rFonts w:ascii="Arial" w:hAnsi="Arial" w:cs="Arial"/>
        </w:rPr>
        <w:t xml:space="preserve">from </w:t>
      </w:r>
      <w:r w:rsidRPr="00CD1C96">
        <w:rPr>
          <w:rFonts w:ascii="Arial" w:eastAsiaTheme="minorEastAsia" w:hAnsi="Arial" w:cs="Arial"/>
          <w:color w:val="000000" w:themeColor="text1"/>
        </w:rPr>
        <w:t>domestic abuse</w:t>
      </w:r>
      <w:r w:rsidRPr="00CD1C96">
        <w:rPr>
          <w:rFonts w:ascii="Arial" w:hAnsi="Arial" w:cs="Arial"/>
        </w:rPr>
        <w:t xml:space="preserve"> or the risk of </w:t>
      </w:r>
      <w:r w:rsidRPr="00CD1C96">
        <w:rPr>
          <w:rFonts w:ascii="Arial" w:eastAsiaTheme="minorEastAsia" w:hAnsi="Arial" w:cs="Arial"/>
          <w:color w:val="000000" w:themeColor="text1"/>
        </w:rPr>
        <w:t>domestic abuse</w:t>
      </w:r>
      <w:r w:rsidRPr="00CD1C96">
        <w:rPr>
          <w:rFonts w:ascii="Arial" w:hAnsi="Arial" w:cs="Arial"/>
        </w:rPr>
        <w:t>,</w:t>
      </w:r>
      <w:r w:rsidRPr="009863BB">
        <w:rPr>
          <w:rFonts w:ascii="Arial" w:hAnsi="Arial" w:cs="Arial"/>
        </w:rPr>
        <w:t xml:space="preserve"> the DAPO may be varied to:</w:t>
      </w:r>
    </w:p>
    <w:p w14:paraId="00BB2128" w14:textId="77777777" w:rsidR="00527F6A" w:rsidRPr="009863BB" w:rsidRDefault="00527F6A" w:rsidP="00CD3F30">
      <w:pPr>
        <w:pStyle w:val="NormalWeb"/>
        <w:numPr>
          <w:ilvl w:val="0"/>
          <w:numId w:val="22"/>
        </w:numPr>
        <w:spacing w:before="0" w:beforeAutospacing="0" w:after="240" w:afterAutospacing="0" w:line="276" w:lineRule="auto"/>
        <w:ind w:left="1560" w:hanging="426"/>
        <w:rPr>
          <w:rFonts w:ascii="Arial" w:hAnsi="Arial" w:cs="Arial"/>
        </w:rPr>
      </w:pPr>
      <w:r w:rsidRPr="009863BB">
        <w:rPr>
          <w:rFonts w:ascii="Arial" w:hAnsi="Arial" w:cs="Arial"/>
        </w:rPr>
        <w:t>Impose additional requirements on the perpetrator; or</w:t>
      </w:r>
    </w:p>
    <w:p w14:paraId="25F3A69E" w14:textId="77777777" w:rsidR="00527F6A" w:rsidRDefault="00527F6A" w:rsidP="00CD3F30">
      <w:pPr>
        <w:pStyle w:val="NormalWeb"/>
        <w:numPr>
          <w:ilvl w:val="0"/>
          <w:numId w:val="22"/>
        </w:numPr>
        <w:spacing w:before="0" w:beforeAutospacing="0" w:after="240" w:afterAutospacing="0" w:line="276" w:lineRule="auto"/>
        <w:ind w:left="1560" w:hanging="426"/>
        <w:rPr>
          <w:rFonts w:ascii="Arial" w:hAnsi="Arial"/>
        </w:rPr>
      </w:pPr>
      <w:r>
        <w:rPr>
          <w:rFonts w:ascii="Arial" w:hAnsi="Arial"/>
        </w:rPr>
        <w:t xml:space="preserve">Extend the duration of the DAPO, or the duration of </w:t>
      </w:r>
      <w:proofErr w:type="gramStart"/>
      <w:r>
        <w:rPr>
          <w:rFonts w:ascii="Arial" w:hAnsi="Arial"/>
        </w:rPr>
        <w:t>particular requirements</w:t>
      </w:r>
      <w:proofErr w:type="gramEnd"/>
      <w:r>
        <w:rPr>
          <w:rFonts w:ascii="Arial" w:hAnsi="Arial"/>
        </w:rPr>
        <w:t>.</w:t>
      </w:r>
    </w:p>
    <w:p w14:paraId="0F4BBFE3" w14:textId="77777777" w:rsidR="00527F6A" w:rsidRDefault="00527F6A" w:rsidP="00E34C45">
      <w:pPr>
        <w:pStyle w:val="NormalWeb"/>
        <w:spacing w:before="0" w:beforeAutospacing="0" w:after="240" w:afterAutospacing="0" w:line="276" w:lineRule="auto"/>
        <w:rPr>
          <w:rFonts w:ascii="Arial" w:hAnsi="Arial"/>
        </w:rPr>
      </w:pPr>
      <w:r>
        <w:rPr>
          <w:rFonts w:ascii="Arial" w:hAnsi="Arial"/>
        </w:rPr>
        <w:t>However, t</w:t>
      </w:r>
      <w:r w:rsidRPr="00D80F7B">
        <w:rPr>
          <w:rFonts w:ascii="Arial" w:hAnsi="Arial"/>
        </w:rPr>
        <w:t>he court may not extend the period for which an electronic monitoring requirement has effect by more than 12 months at a time.</w:t>
      </w:r>
    </w:p>
    <w:p w14:paraId="680D2730"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lastRenderedPageBreak/>
        <w:t xml:space="preserve">The court may only remove a particular requirement, or make that requirement less onerous on the perpetrator, if it is satisfied that the requirement is no longer necessary to protect the person from </w:t>
      </w:r>
      <w:r w:rsidRPr="00CD1C96">
        <w:rPr>
          <w:rFonts w:ascii="Arial" w:eastAsiaTheme="minorEastAsia" w:hAnsi="Arial" w:cs="Arial"/>
          <w:color w:val="000000" w:themeColor="text1"/>
        </w:rPr>
        <w:t>domestic abuse</w:t>
      </w:r>
      <w:r w:rsidRPr="00C15CA1">
        <w:rPr>
          <w:rFonts w:ascii="Arial" w:hAnsi="Arial"/>
        </w:rPr>
        <w:t xml:space="preserve"> or the risk of </w:t>
      </w:r>
      <w:r w:rsidRPr="00CD1C96">
        <w:rPr>
          <w:rFonts w:ascii="Arial" w:eastAsiaTheme="minorEastAsia" w:hAnsi="Arial" w:cs="Arial"/>
          <w:color w:val="000000" w:themeColor="text1"/>
        </w:rPr>
        <w:t>domestic abuse</w:t>
      </w:r>
      <w:r w:rsidRPr="00C15CA1">
        <w:rPr>
          <w:rFonts w:ascii="Arial" w:hAnsi="Arial"/>
        </w:rPr>
        <w:t xml:space="preserve"> or compromise their safety.</w:t>
      </w:r>
    </w:p>
    <w:p w14:paraId="5BA55C14"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t>If it appears to the court that any conditions necessary for a requirement to be imposed are no longer met, the court may not extend that requirement and must remove that requirement.</w:t>
      </w:r>
    </w:p>
    <w:p w14:paraId="71CA422E"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t xml:space="preserve">The court may only discharge the DAPO if it is satisfied that the DAPO is no longer necessary to protect the person from </w:t>
      </w:r>
      <w:r w:rsidRPr="00CD1C96">
        <w:rPr>
          <w:rFonts w:ascii="Arial" w:eastAsiaTheme="minorEastAsia" w:hAnsi="Arial" w:cs="Arial"/>
          <w:color w:val="000000" w:themeColor="text1"/>
        </w:rPr>
        <w:t>domestic abuse</w:t>
      </w:r>
      <w:r w:rsidRPr="00C15CA1">
        <w:rPr>
          <w:rFonts w:ascii="Arial" w:hAnsi="Arial"/>
        </w:rPr>
        <w:t xml:space="preserve"> or the risk of </w:t>
      </w:r>
      <w:r w:rsidRPr="00CD1C96">
        <w:rPr>
          <w:rFonts w:ascii="Arial" w:eastAsiaTheme="minorEastAsia" w:hAnsi="Arial" w:cs="Arial"/>
          <w:color w:val="000000" w:themeColor="text1"/>
        </w:rPr>
        <w:t>domestic abuse</w:t>
      </w:r>
      <w:r w:rsidRPr="00C15CA1">
        <w:rPr>
          <w:rFonts w:ascii="Arial" w:hAnsi="Arial"/>
        </w:rPr>
        <w:t xml:space="preserve"> or compromise their safety.</w:t>
      </w:r>
    </w:p>
    <w:p w14:paraId="1734D5C2" w14:textId="41C43EC2" w:rsidR="00303BC6" w:rsidRPr="00E34C45" w:rsidRDefault="00527F6A" w:rsidP="00E34C45">
      <w:pPr>
        <w:pStyle w:val="NormalWeb"/>
        <w:spacing w:before="0" w:beforeAutospacing="0" w:after="240" w:afterAutospacing="0" w:line="276" w:lineRule="auto"/>
        <w:rPr>
          <w:rFonts w:ascii="Arial" w:hAnsi="Arial"/>
        </w:rPr>
      </w:pPr>
      <w:r w:rsidRPr="00C15CA1">
        <w:rPr>
          <w:rFonts w:ascii="Arial" w:hAnsi="Arial"/>
        </w:rPr>
        <w:t>A DAPO may be varied without notice in exceptional or urgent circumstances (</w:t>
      </w:r>
      <w:hyperlink r:id="rId53" w:history="1">
        <w:r w:rsidRPr="00C15CA1">
          <w:rPr>
            <w:rStyle w:val="Hyperlink"/>
            <w:rFonts w:cs="Arial"/>
          </w:rPr>
          <w:t xml:space="preserve">Section </w:t>
        </w:r>
        <w:r w:rsidR="0095079E">
          <w:rPr>
            <w:rStyle w:val="Hyperlink"/>
            <w:rFonts w:cs="Arial"/>
          </w:rPr>
          <w:t xml:space="preserve">44(7) and </w:t>
        </w:r>
        <w:r w:rsidR="004A6925">
          <w:rPr>
            <w:rStyle w:val="Hyperlink"/>
            <w:rFonts w:cs="Arial"/>
          </w:rPr>
          <w:t xml:space="preserve">section </w:t>
        </w:r>
        <w:r w:rsidRPr="00C15CA1">
          <w:rPr>
            <w:rStyle w:val="Hyperlink"/>
            <w:rFonts w:cs="Arial"/>
          </w:rPr>
          <w:t>34</w:t>
        </w:r>
      </w:hyperlink>
      <w:r w:rsidRPr="00C15CA1">
        <w:rPr>
          <w:rStyle w:val="Hyperlink"/>
          <w:rFonts w:cs="Arial"/>
        </w:rPr>
        <w:t xml:space="preserve"> ). </w:t>
      </w:r>
      <w:r w:rsidRPr="00C87852">
        <w:rPr>
          <w:rStyle w:val="Hyperlink"/>
          <w:rFonts w:cs="Arial"/>
          <w:color w:val="auto"/>
          <w:u w:val="none"/>
        </w:rPr>
        <w:t xml:space="preserve">The perpetrator must </w:t>
      </w:r>
      <w:r w:rsidR="004A6925" w:rsidRPr="00C87852">
        <w:rPr>
          <w:rStyle w:val="Hyperlink"/>
          <w:rFonts w:cs="Arial"/>
          <w:color w:val="auto"/>
          <w:u w:val="none"/>
        </w:rPr>
        <w:t xml:space="preserve">however </w:t>
      </w:r>
      <w:r w:rsidRPr="00C87852">
        <w:rPr>
          <w:rStyle w:val="Hyperlink"/>
          <w:rFonts w:cs="Arial"/>
          <w:color w:val="auto"/>
          <w:u w:val="none"/>
        </w:rPr>
        <w:t>be given an opportunity</w:t>
      </w:r>
      <w:r w:rsidR="001B45AF" w:rsidRPr="00C87852">
        <w:rPr>
          <w:rStyle w:val="Hyperlink"/>
          <w:rFonts w:cs="Arial"/>
          <w:color w:val="auto"/>
          <w:u w:val="none"/>
        </w:rPr>
        <w:t>,</w:t>
      </w:r>
      <w:r w:rsidRPr="00C87852">
        <w:rPr>
          <w:rStyle w:val="Hyperlink"/>
          <w:rFonts w:cs="Arial"/>
          <w:color w:val="auto"/>
          <w:u w:val="none"/>
        </w:rPr>
        <w:t xml:space="preserve"> as soon as is just and convenient</w:t>
      </w:r>
      <w:r w:rsidR="001B45AF" w:rsidRPr="00C87852">
        <w:rPr>
          <w:rStyle w:val="Hyperlink"/>
          <w:rFonts w:cs="Arial"/>
          <w:color w:val="auto"/>
          <w:u w:val="none"/>
        </w:rPr>
        <w:t>,</w:t>
      </w:r>
      <w:r w:rsidRPr="00C87852">
        <w:rPr>
          <w:rStyle w:val="Hyperlink"/>
          <w:rFonts w:cs="Arial"/>
          <w:color w:val="auto"/>
          <w:u w:val="none"/>
        </w:rPr>
        <w:t xml:space="preserve"> to make representations about the variation at a return hearing on notice.</w:t>
      </w:r>
      <w:r w:rsidRPr="00C87852">
        <w:rPr>
          <w:rStyle w:val="Hyperlink"/>
          <w:rFonts w:cs="Arial"/>
          <w:color w:val="auto"/>
        </w:rPr>
        <w:t xml:space="preserve"> </w:t>
      </w:r>
    </w:p>
    <w:p w14:paraId="787C51D3" w14:textId="4D2D6588" w:rsidR="00373ED8" w:rsidRPr="003D1C3E" w:rsidRDefault="00373ED8" w:rsidP="003D1C3E">
      <w:pPr>
        <w:pStyle w:val="Heading1briefing"/>
      </w:pPr>
      <w:bookmarkStart w:id="50" w:name="_Toc147759998"/>
      <w:bookmarkStart w:id="51" w:name="_Toc153264655"/>
      <w:bookmarkStart w:id="52" w:name="_Toc181202775"/>
      <w:r w:rsidRPr="00AB487B">
        <w:t>Breach of a DAPO</w:t>
      </w:r>
      <w:bookmarkEnd w:id="50"/>
      <w:bookmarkEnd w:id="51"/>
      <w:bookmarkEnd w:id="52"/>
      <w:r w:rsidRPr="00AB487B">
        <w:t xml:space="preserve"> </w:t>
      </w:r>
    </w:p>
    <w:p w14:paraId="545C0436" w14:textId="10F997AC" w:rsidR="00373ED8" w:rsidRDefault="00373ED8" w:rsidP="00E34C45">
      <w:pPr>
        <w:pStyle w:val="NoSpacing"/>
        <w:spacing w:after="240" w:line="276" w:lineRule="auto"/>
        <w:rPr>
          <w:rFonts w:eastAsia="Times New Roman"/>
          <w:b/>
          <w:color w:val="8F23B3"/>
          <w:sz w:val="32"/>
          <w:szCs w:val="32"/>
          <w:lang w:eastAsia="en-GB"/>
        </w:rPr>
      </w:pPr>
      <w:r>
        <w:rPr>
          <w:rFonts w:eastAsia="Times New Roman" w:cs="Times New Roman"/>
          <w:lang w:eastAsia="en-GB"/>
        </w:rPr>
        <w:t>It is an offence for a perpetrator to breach a DAPO</w:t>
      </w:r>
      <w:r w:rsidR="00133D3C">
        <w:rPr>
          <w:rFonts w:eastAsia="Times New Roman" w:cs="Times New Roman"/>
          <w:lang w:eastAsia="en-GB"/>
        </w:rPr>
        <w:t xml:space="preserve"> without reasonable excuse</w:t>
      </w:r>
      <w:r>
        <w:rPr>
          <w:rFonts w:eastAsia="Times New Roman" w:cs="Times New Roman"/>
          <w:lang w:eastAsia="en-GB"/>
        </w:rPr>
        <w:t>. Breach could involve doing anything prohibited by the DAPO or failing</w:t>
      </w:r>
      <w:r w:rsidR="00133D3C">
        <w:rPr>
          <w:rFonts w:eastAsia="Times New Roman" w:cs="Times New Roman"/>
          <w:lang w:eastAsia="en-GB"/>
        </w:rPr>
        <w:t xml:space="preserve"> </w:t>
      </w:r>
      <w:r>
        <w:rPr>
          <w:rFonts w:eastAsia="Times New Roman" w:cs="Times New Roman"/>
          <w:lang w:eastAsia="en-GB"/>
        </w:rPr>
        <w:t xml:space="preserve">to do something which is required by the DAPO. </w:t>
      </w:r>
    </w:p>
    <w:p w14:paraId="691A6F7F" w14:textId="77777777" w:rsidR="00373ED8" w:rsidRDefault="00373ED8" w:rsidP="00E34C45">
      <w:pPr>
        <w:pStyle w:val="NoSpacing"/>
        <w:spacing w:after="240" w:line="276" w:lineRule="auto"/>
        <w:rPr>
          <w:rFonts w:eastAsia="Times New Roman"/>
          <w:b/>
          <w:color w:val="8F23B3"/>
          <w:sz w:val="32"/>
          <w:szCs w:val="32"/>
          <w:lang w:eastAsia="en-GB"/>
        </w:rPr>
      </w:pPr>
      <w:r>
        <w:rPr>
          <w:rFonts w:eastAsia="Times New Roman" w:cs="Times New Roman"/>
          <w:lang w:eastAsia="en-GB"/>
        </w:rPr>
        <w:t>Offences relating to a DAPO include:</w:t>
      </w:r>
    </w:p>
    <w:p w14:paraId="363439D9" w14:textId="77777777" w:rsidR="00373ED8" w:rsidRDefault="00373ED8" w:rsidP="00CD3F30">
      <w:pPr>
        <w:pStyle w:val="NoSpacing"/>
        <w:numPr>
          <w:ilvl w:val="0"/>
          <w:numId w:val="32"/>
        </w:numPr>
        <w:spacing w:after="240" w:line="276" w:lineRule="auto"/>
        <w:ind w:left="1560" w:hanging="426"/>
        <w:rPr>
          <w:rFonts w:eastAsia="Times New Roman" w:cs="Times New Roman"/>
          <w:szCs w:val="22"/>
          <w:lang w:eastAsia="en-GB"/>
        </w:rPr>
      </w:pPr>
      <w:r>
        <w:t xml:space="preserve">breach any requirement of a DAPO without reasonable excuse </w:t>
      </w:r>
      <w:hyperlink r:id="rId54" w:history="1">
        <w:r>
          <w:rPr>
            <w:rStyle w:val="Hyperlink"/>
          </w:rPr>
          <w:t>(Section 39</w:t>
        </w:r>
      </w:hyperlink>
      <w:r>
        <w:rPr>
          <w:rStyle w:val="Hyperlink"/>
        </w:rPr>
        <w:t xml:space="preserve"> (1)</w:t>
      </w:r>
      <w:proofErr w:type="gramStart"/>
      <w:r>
        <w:rPr>
          <w:rStyle w:val="Hyperlink"/>
        </w:rPr>
        <w:t>)</w:t>
      </w:r>
      <w:r>
        <w:t>;</w:t>
      </w:r>
      <w:proofErr w:type="gramEnd"/>
    </w:p>
    <w:p w14:paraId="0C9C0417"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comply with notification requirements without reasonable excuse or knowingly provide the police with false information </w:t>
      </w:r>
      <w:hyperlink r:id="rId55" w:history="1">
        <w:r>
          <w:rPr>
            <w:rStyle w:val="Hyperlink"/>
          </w:rPr>
          <w:t>(Section 43</w:t>
        </w:r>
      </w:hyperlink>
      <w:r>
        <w:rPr>
          <w:rStyle w:val="Hyperlink"/>
        </w:rPr>
        <w:t xml:space="preserve"> (1-2))</w:t>
      </w:r>
      <w:r>
        <w:t xml:space="preserve">; </w:t>
      </w:r>
    </w:p>
    <w:p w14:paraId="58559A0E"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keep in touch with the responsible person for supervising compliance with the requirement and/or notifying them of a change of home address or lack thereof </w:t>
      </w:r>
      <w:hyperlink r:id="rId56" w:history="1">
        <w:r>
          <w:rPr>
            <w:rStyle w:val="Hyperlink"/>
          </w:rPr>
          <w:t>(Section 36(7)</w:t>
        </w:r>
      </w:hyperlink>
      <w:r>
        <w:rPr>
          <w:rStyle w:val="Hyperlink"/>
        </w:rPr>
        <w:t>)</w:t>
      </w:r>
      <w:r>
        <w:t xml:space="preserve">; </w:t>
      </w:r>
    </w:p>
    <w:p w14:paraId="6703F1A9"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comply with obligations in relation to electronic monitoring requirements </w:t>
      </w:r>
      <w:hyperlink r:id="rId57" w:history="1">
        <w:r>
          <w:rPr>
            <w:rStyle w:val="Hyperlink"/>
          </w:rPr>
          <w:t>(Section 37(8)</w:t>
        </w:r>
      </w:hyperlink>
      <w:r>
        <w:rPr>
          <w:rStyle w:val="Hyperlink"/>
        </w:rPr>
        <w:t>)</w:t>
      </w:r>
      <w:r>
        <w:t>.</w:t>
      </w:r>
    </w:p>
    <w:p w14:paraId="1D5AD3C9"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In instances where the perpetrator is subject to probation management in relation to another offence, and a DAPO breach occurs, the police are responsible for informing the probation service. </w:t>
      </w:r>
    </w:p>
    <w:p w14:paraId="601E1EB3"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Where the DAPO was made against the perpetrator without notice, the perpetrator only commits an offence in respect of behaviour that occurred at a time when the perpetrator was aware of the existence of the DAPO (</w:t>
      </w:r>
      <w:hyperlink r:id="rId58" w:history="1">
        <w:r>
          <w:rPr>
            <w:rStyle w:val="Hyperlink"/>
            <w:rFonts w:eastAsia="Times New Roman" w:cs="Times New Roman"/>
            <w:lang w:eastAsia="en-GB"/>
          </w:rPr>
          <w:t>Section 39(2))</w:t>
        </w:r>
      </w:hyperlink>
      <w:r>
        <w:rPr>
          <w:rFonts w:eastAsia="Times New Roman" w:cs="Times New Roman"/>
          <w:lang w:eastAsia="en-GB"/>
        </w:rPr>
        <w:t xml:space="preserve">. The perpetrator </w:t>
      </w:r>
      <w:r>
        <w:rPr>
          <w:rFonts w:eastAsia="Times New Roman" w:cs="Times New Roman"/>
          <w:lang w:eastAsia="en-GB"/>
        </w:rPr>
        <w:lastRenderedPageBreak/>
        <w:t xml:space="preserve">does not commit an offence </w:t>
      </w:r>
      <w:r>
        <w:t xml:space="preserve">unless and until they are aware of the making of the variation, and if in the absence of the variation their behaviour would not have constituted an offence </w:t>
      </w:r>
      <w:hyperlink r:id="rId59" w:history="1">
        <w:r>
          <w:rPr>
            <w:rStyle w:val="Hyperlink"/>
            <w:rFonts w:eastAsia="Times New Roman" w:cs="Times New Roman"/>
            <w:lang w:eastAsia="en-GB"/>
          </w:rPr>
          <w:t>(Sections 45(8-9)</w:t>
        </w:r>
      </w:hyperlink>
      <w:r>
        <w:t>.</w:t>
      </w:r>
    </w:p>
    <w:p w14:paraId="72135E82" w14:textId="523C6C7D" w:rsidR="00373ED8" w:rsidRPr="006248D8" w:rsidRDefault="00373ED8" w:rsidP="00E34C45">
      <w:pPr>
        <w:pStyle w:val="NoSpacing"/>
        <w:spacing w:after="240" w:line="276" w:lineRule="auto"/>
        <w:rPr>
          <w:rFonts w:eastAsia="Times New Roman" w:cs="Times New Roman"/>
          <w:szCs w:val="22"/>
          <w:lang w:eastAsia="en-GB"/>
        </w:rPr>
      </w:pPr>
      <w:r>
        <w:t xml:space="preserve">If the perpetrator fails to comply with the notification requirements </w:t>
      </w:r>
      <w:hyperlink r:id="rId60" w:history="1">
        <w:r>
          <w:rPr>
            <w:rStyle w:val="Hyperlink"/>
          </w:rPr>
          <w:t>(Section 4</w:t>
        </w:r>
        <w:r w:rsidR="00162CE8">
          <w:rPr>
            <w:rStyle w:val="Hyperlink"/>
          </w:rPr>
          <w:t xml:space="preserve">3 </w:t>
        </w:r>
        <w:r>
          <w:rPr>
            <w:rStyle w:val="Hyperlink"/>
          </w:rPr>
          <w:t>)</w:t>
        </w:r>
      </w:hyperlink>
      <w:r>
        <w:rPr>
          <w:rStyle w:val="Hyperlink"/>
        </w:rPr>
        <w:t>,</w:t>
      </w:r>
      <w:r>
        <w:t xml:space="preserve"> without a reasonable excuse, it is an offence. If the perpetrator continues to fail to comply over a period of time, the perpetrator can only be prosecuted once for the same failure to notify </w:t>
      </w:r>
      <w:hyperlink r:id="rId61" w:history="1">
        <w:r>
          <w:rPr>
            <w:rStyle w:val="Hyperlink"/>
          </w:rPr>
          <w:t>(Section 43 (4-6))</w:t>
        </w:r>
      </w:hyperlink>
      <w:r>
        <w:t>.</w:t>
      </w:r>
    </w:p>
    <w:p w14:paraId="44CFECDA" w14:textId="77777777" w:rsidR="00373ED8" w:rsidRDefault="00373ED8" w:rsidP="00E34C45">
      <w:pPr>
        <w:pStyle w:val="NoSpacing"/>
        <w:spacing w:after="240" w:line="276" w:lineRule="auto"/>
        <w:rPr>
          <w:b/>
          <w:color w:val="8F23B3"/>
          <w:sz w:val="32"/>
          <w:szCs w:val="32"/>
        </w:rPr>
      </w:pPr>
      <w:r>
        <w:t xml:space="preserve">The maximum penalty for breach of a DAPO is the maximum imprisonment available in the magistrates’ court, a fine, or both, on summary conviction; or five years’ imprisonment, a fine, or both, on conviction on indictment </w:t>
      </w:r>
      <w:hyperlink r:id="rId62" w:history="1">
        <w:r>
          <w:rPr>
            <w:rStyle w:val="Hyperlink"/>
          </w:rPr>
          <w:t>(Section 39 (5))</w:t>
        </w:r>
      </w:hyperlink>
      <w:r>
        <w:t>.</w:t>
      </w:r>
    </w:p>
    <w:p w14:paraId="77BE2F0C" w14:textId="3E83BF43" w:rsidR="00373ED8" w:rsidRDefault="00373ED8" w:rsidP="00E34C45">
      <w:pPr>
        <w:pStyle w:val="NoSpacing"/>
        <w:spacing w:after="240" w:line="276" w:lineRule="auto"/>
        <w:rPr>
          <w:rFonts w:eastAsia="Times New Roman" w:cs="Times New Roman"/>
          <w:lang w:eastAsia="en-GB"/>
        </w:rPr>
      </w:pPr>
      <w:r>
        <w:t xml:space="preserve">If a person is convicted of breach of a DAPO </w:t>
      </w:r>
      <w:hyperlink r:id="rId63" w:history="1">
        <w:r>
          <w:rPr>
            <w:rStyle w:val="Hyperlink"/>
          </w:rPr>
          <w:t>(Sections 39 (6-7))</w:t>
        </w:r>
      </w:hyperlink>
      <w:r>
        <w:t xml:space="preserve">, provide that it is </w:t>
      </w:r>
      <w:r>
        <w:rPr>
          <w:u w:val="single"/>
        </w:rPr>
        <w:t>not</w:t>
      </w:r>
      <w:r>
        <w:t xml:space="preserve"> open to the court, to make an order for a conditional discharge.</w:t>
      </w:r>
    </w:p>
    <w:p w14:paraId="11B93BCC" w14:textId="77777777" w:rsidR="00373ED8" w:rsidRPr="00FB7C5B" w:rsidRDefault="00373ED8" w:rsidP="00E34C45">
      <w:pPr>
        <w:pStyle w:val="Heading2"/>
        <w:rPr>
          <w:rFonts w:ascii="Arial" w:hAnsi="Arial" w:cs="Arial"/>
          <w:color w:val="7030A0"/>
          <w:sz w:val="28"/>
          <w:szCs w:val="28"/>
        </w:rPr>
      </w:pPr>
      <w:bookmarkStart w:id="53" w:name="_Toc153264658"/>
      <w:bookmarkStart w:id="54" w:name="_Toc181202776"/>
      <w:r w:rsidRPr="00FB7C5B">
        <w:rPr>
          <w:rFonts w:ascii="Arial" w:hAnsi="Arial" w:cs="Arial"/>
          <w:color w:val="7030A0"/>
          <w:sz w:val="28"/>
          <w:szCs w:val="28"/>
        </w:rPr>
        <w:t>Dealing with breach as a civil contempt of court</w:t>
      </w:r>
      <w:bookmarkEnd w:id="53"/>
      <w:bookmarkEnd w:id="54"/>
    </w:p>
    <w:p w14:paraId="0A37B26A" w14:textId="45932C3F" w:rsidR="00373ED8" w:rsidRDefault="00373ED8" w:rsidP="00E34C45">
      <w:pPr>
        <w:pStyle w:val="NoSpacing"/>
        <w:spacing w:after="240" w:line="276" w:lineRule="auto"/>
        <w:rPr>
          <w:rFonts w:eastAsia="Times New Roman" w:cs="Times New Roman"/>
          <w:lang w:eastAsia="en-GB"/>
        </w:rPr>
      </w:pPr>
      <w:r w:rsidRPr="0FCFC9F5">
        <w:rPr>
          <w:rFonts w:eastAsia="Times New Roman" w:cs="Times New Roman"/>
          <w:lang w:eastAsia="en-GB"/>
        </w:rPr>
        <w:t>Breach of a DAPO can be dealt with as a civil contempt of court.</w:t>
      </w:r>
      <w:r w:rsidR="30296441" w:rsidRPr="0FCFC9F5">
        <w:rPr>
          <w:rFonts w:eastAsia="Times New Roman" w:cs="Times New Roman"/>
          <w:lang w:eastAsia="en-GB"/>
        </w:rPr>
        <w:t xml:space="preserve"> </w:t>
      </w:r>
      <w:r w:rsidR="006A0E4C" w:rsidRPr="0FCFC9F5">
        <w:rPr>
          <w:rFonts w:eastAsia="Times New Roman" w:cs="Times New Roman"/>
          <w:lang w:eastAsia="en-GB"/>
        </w:rPr>
        <w:t>This does not apply to an order made by a magistrates</w:t>
      </w:r>
      <w:r w:rsidR="00666243" w:rsidRPr="0FCFC9F5">
        <w:rPr>
          <w:rFonts w:eastAsia="Times New Roman" w:cs="Times New Roman"/>
          <w:lang w:eastAsia="en-GB"/>
        </w:rPr>
        <w:t>’</w:t>
      </w:r>
      <w:r w:rsidR="006A0E4C" w:rsidRPr="0FCFC9F5">
        <w:rPr>
          <w:rFonts w:eastAsia="Times New Roman" w:cs="Times New Roman"/>
          <w:lang w:eastAsia="en-GB"/>
        </w:rPr>
        <w:t xml:space="preserve"> court which does not have the power to punish for civil contempt.  Breaches of magistrates’ courts orders should therefore always be dealt with by arrest and charge for the criminal offence.  </w:t>
      </w:r>
    </w:p>
    <w:p w14:paraId="15C453EB" w14:textId="2F571C83" w:rsidR="00373ED8" w:rsidRDefault="00373ED8" w:rsidP="00E34C45">
      <w:pPr>
        <w:pStyle w:val="NoSpacing"/>
        <w:spacing w:after="240" w:line="276" w:lineRule="auto"/>
        <w:rPr>
          <w:rFonts w:eastAsia="Times New Roman" w:cs="Times New Roman"/>
          <w:lang w:eastAsia="en-GB"/>
        </w:rPr>
      </w:pPr>
      <w:r>
        <w:t xml:space="preserve">Where the DAPO was made by a court other than a magistrates’ court, the maximum penalty for civil contempt of court is up to two years’ imprisonment, or a fine, or both – the available penalty will vary depending on the seniority of the judge who made the DAPO. </w:t>
      </w:r>
    </w:p>
    <w:p w14:paraId="29EC846C" w14:textId="77777777" w:rsidR="003324B2" w:rsidRDefault="00373ED8" w:rsidP="00E34C45">
      <w:pPr>
        <w:pStyle w:val="NoSpacing"/>
        <w:spacing w:after="240" w:line="276" w:lineRule="auto"/>
        <w:rPr>
          <w:rFonts w:eastAsia="Times New Roman" w:cs="Times New Roman"/>
          <w:lang w:eastAsia="en-GB"/>
        </w:rPr>
      </w:pPr>
      <w:r>
        <w:t>Where the police and CPS do not pursue criminal charges following breach of a DAPO, the victim and other parties to the proceedings (e.g., social services) may be able to bring proceedings against the perpetrator as contempt of court in civil proceedings.</w:t>
      </w:r>
      <w:r>
        <w:rPr>
          <w:rFonts w:eastAsia="Times New Roman" w:cs="Times New Roman"/>
          <w:lang w:eastAsia="en-GB"/>
        </w:rPr>
        <w:t xml:space="preserve"> </w:t>
      </w:r>
    </w:p>
    <w:p w14:paraId="27D415D2" w14:textId="01B578EB" w:rsidR="00373ED8" w:rsidRDefault="00B3266C" w:rsidP="00E34C45">
      <w:pPr>
        <w:pStyle w:val="NoSpacing"/>
        <w:spacing w:after="240" w:line="276" w:lineRule="auto"/>
        <w:rPr>
          <w:rFonts w:eastAsia="Times New Roman" w:cs="Times New Roman"/>
          <w:lang w:eastAsia="en-GB"/>
        </w:rPr>
      </w:pPr>
      <w:r>
        <w:rPr>
          <w:rFonts w:eastAsia="Times New Roman" w:cs="Times New Roman"/>
          <w:lang w:eastAsia="en-GB"/>
        </w:rPr>
        <w:t>Dealing with a breach of a DAPO as a civil matter may be appropriate in cases where the victim does not want the perpetrator to be criminalised, for example if they wish to continue their relationship with the perpetrator.</w:t>
      </w:r>
    </w:p>
    <w:p w14:paraId="0E55DCA7" w14:textId="1267F635" w:rsidR="00373ED8" w:rsidRDefault="00373ED8" w:rsidP="00E34C45">
      <w:pPr>
        <w:pStyle w:val="NoSpacing"/>
        <w:spacing w:after="240" w:line="276" w:lineRule="auto"/>
        <w:rPr>
          <w:rFonts w:eastAsia="Times New Roman" w:cs="Times New Roman"/>
          <w:szCs w:val="22"/>
          <w:lang w:eastAsia="en-GB"/>
        </w:rPr>
      </w:pPr>
      <w:r>
        <w:t xml:space="preserve">The victim, the person who applied for the standalone DAPO, or anyone else with the leave of the court may apply to the court which made the DAPO for an arrest warrant if they consider that the perpetrator has breached the DAPO or is otherwise in contempt of court in relation to the DAPO </w:t>
      </w:r>
      <w:hyperlink r:id="rId64" w:history="1">
        <w:r>
          <w:rPr>
            <w:rStyle w:val="Hyperlink"/>
          </w:rPr>
          <w:t>(Section 40 (3))</w:t>
        </w:r>
      </w:hyperlink>
      <w:r>
        <w:t xml:space="preserve">. Once the perpetrator has been arrested and brought before the court, the court may either deal with the contempt of court there and then or remand the perpetrator, whether in custody or on bail, for the case to the dealt with </w:t>
      </w:r>
      <w:proofErr w:type="gramStart"/>
      <w:r>
        <w:t>at a later date</w:t>
      </w:r>
      <w:proofErr w:type="gramEnd"/>
      <w:r>
        <w:t xml:space="preserve">.  </w:t>
      </w:r>
    </w:p>
    <w:p w14:paraId="5BEAB795"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lastRenderedPageBreak/>
        <w:t xml:space="preserve">Where the perpetrator is convicted of breach of a DAPO in respect of any behaviour, that same behaviour is not punishable as a contempt of court </w:t>
      </w:r>
      <w:hyperlink r:id="rId65" w:history="1">
        <w:r>
          <w:rPr>
            <w:rStyle w:val="Hyperlink"/>
            <w:rFonts w:eastAsia="Times New Roman" w:cs="Times New Roman"/>
            <w:lang w:eastAsia="en-GB"/>
          </w:rPr>
          <w:t>(Sections 39 (3))</w:t>
        </w:r>
      </w:hyperlink>
      <w:r>
        <w:rPr>
          <w:rFonts w:eastAsia="Times New Roman" w:cs="Times New Roman"/>
          <w:lang w:eastAsia="en-GB"/>
        </w:rPr>
        <w:t xml:space="preserve">. </w:t>
      </w:r>
    </w:p>
    <w:p w14:paraId="5691C66A" w14:textId="264121A8"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Where the perpetrator has been found in contempt of court in relation to the DAPO , they may not be convicted of breach of a DAPO in respect of that same behaviour </w:t>
      </w:r>
      <w:hyperlink r:id="rId66" w:history="1">
        <w:r>
          <w:rPr>
            <w:rStyle w:val="Hyperlink"/>
            <w:rFonts w:eastAsia="Times New Roman" w:cs="Times New Roman"/>
            <w:lang w:eastAsia="en-GB"/>
          </w:rPr>
          <w:t>(Section 39 (4))</w:t>
        </w:r>
      </w:hyperlink>
      <w:r>
        <w:rPr>
          <w:rFonts w:eastAsia="Times New Roman" w:cs="Times New Roman"/>
          <w:lang w:eastAsia="en-GB"/>
        </w:rPr>
        <w:t>.</w:t>
      </w:r>
    </w:p>
    <w:p w14:paraId="3175B0F1" w14:textId="77777777" w:rsidR="00373ED8" w:rsidRPr="003127CB" w:rsidRDefault="00373ED8" w:rsidP="00E34C45">
      <w:pPr>
        <w:pStyle w:val="Heading2"/>
        <w:rPr>
          <w:rFonts w:ascii="Arial" w:hAnsi="Arial" w:cs="Arial"/>
          <w:color w:val="7030A0"/>
          <w:sz w:val="28"/>
          <w:szCs w:val="28"/>
        </w:rPr>
      </w:pPr>
      <w:bookmarkStart w:id="55" w:name="_Toc153264659"/>
      <w:bookmarkStart w:id="56" w:name="_Toc181202777"/>
      <w:r w:rsidRPr="003127CB">
        <w:rPr>
          <w:rFonts w:ascii="Arial" w:hAnsi="Arial" w:cs="Arial"/>
          <w:color w:val="7030A0"/>
          <w:sz w:val="28"/>
          <w:szCs w:val="28"/>
        </w:rPr>
        <w:t>Breach occurring outside of England and Wales</w:t>
      </w:r>
      <w:bookmarkEnd w:id="55"/>
      <w:bookmarkEnd w:id="56"/>
    </w:p>
    <w:p w14:paraId="0B11DEA0" w14:textId="77777777" w:rsidR="00373ED8" w:rsidRDefault="00373ED8" w:rsidP="00E34C45">
      <w:pPr>
        <w:pStyle w:val="NoSpacing"/>
        <w:spacing w:after="240" w:line="276" w:lineRule="auto"/>
        <w:rPr>
          <w:rFonts w:eastAsia="Times New Roman"/>
          <w:b/>
          <w:color w:val="8F23B3"/>
          <w:sz w:val="32"/>
          <w:szCs w:val="32"/>
          <w:lang w:eastAsia="en-GB"/>
        </w:rPr>
      </w:pPr>
      <w:hyperlink r:id="rId67" w:history="1">
        <w:r>
          <w:rPr>
            <w:rStyle w:val="Hyperlink"/>
            <w:rFonts w:eastAsiaTheme="majorEastAsia"/>
          </w:rPr>
          <w:t>Part 3 of the DA Act 2021</w:t>
        </w:r>
      </w:hyperlink>
      <w:r>
        <w:t xml:space="preserve"> extends to England and Wales only. This means that it does not </w:t>
      </w:r>
      <w:r>
        <w:rPr>
          <w:rFonts w:eastAsia="Arial"/>
        </w:rPr>
        <w:t xml:space="preserve">form part of the law of Scotland, Northern Ireland or any other country and is not capable of producing any legal effect outside </w:t>
      </w:r>
      <w:r>
        <w:t>England</w:t>
      </w:r>
      <w:r>
        <w:rPr>
          <w:rFonts w:eastAsia="Arial"/>
        </w:rPr>
        <w:t xml:space="preserve"> and Wales.</w:t>
      </w:r>
      <w:r>
        <w:t xml:space="preserve"> </w:t>
      </w:r>
    </w:p>
    <w:p w14:paraId="47966822" w14:textId="77777777" w:rsidR="00373ED8" w:rsidRDefault="00373ED8" w:rsidP="00E34C45">
      <w:pPr>
        <w:pStyle w:val="NoSpacing"/>
        <w:spacing w:after="240" w:line="276" w:lineRule="auto"/>
        <w:rPr>
          <w:rFonts w:eastAsia="Times New Roman"/>
          <w:b/>
          <w:color w:val="8F23B3"/>
          <w:sz w:val="32"/>
          <w:szCs w:val="32"/>
          <w:lang w:eastAsia="en-GB"/>
        </w:rPr>
      </w:pPr>
      <w:r>
        <w:t xml:space="preserve">However, </w:t>
      </w:r>
      <w:hyperlink r:id="rId68" w:history="1">
        <w:r>
          <w:rPr>
            <w:rStyle w:val="Hyperlink"/>
            <w:rFonts w:eastAsiaTheme="majorEastAsia"/>
          </w:rPr>
          <w:t xml:space="preserve">Section 38 </w:t>
        </w:r>
      </w:hyperlink>
      <w:r>
        <w:t>provides that a requirement imposed by a DAPO has effect in all parts of the United Kingdom unless expressly limited to a particular locality. This means that an act or conduct in breach of a DAPO, even if carried out in Scotland or Northern Ireland, will constitute as an offence in England and Wales.</w:t>
      </w:r>
    </w:p>
    <w:p w14:paraId="38E9C62B" w14:textId="0441F358" w:rsidR="00AF2B4B" w:rsidRPr="007D24DD" w:rsidRDefault="00373ED8" w:rsidP="00454E03">
      <w:pPr>
        <w:pStyle w:val="BodyText"/>
      </w:pPr>
      <w:bookmarkStart w:id="57" w:name="_Toc147759999"/>
      <w:bookmarkStart w:id="58" w:name="_Toc147921675"/>
      <w:bookmarkStart w:id="59" w:name="_Toc153264660"/>
      <w:r w:rsidRPr="00AB487B">
        <w:rPr>
          <w:rFonts w:cs="Arial"/>
          <w:color w:val="7030A0"/>
          <w:sz w:val="36"/>
          <w:szCs w:val="36"/>
        </w:rPr>
        <w:t>Appeals</w:t>
      </w:r>
      <w:bookmarkStart w:id="60" w:name="_Toc147760000"/>
      <w:bookmarkEnd w:id="57"/>
      <w:bookmarkEnd w:id="58"/>
      <w:bookmarkEnd w:id="59"/>
      <w:r w:rsidRPr="00AB487B">
        <w:rPr>
          <w:rFonts w:cs="Arial"/>
          <w:color w:val="7030A0"/>
          <w:sz w:val="36"/>
          <w:szCs w:val="36"/>
        </w:rPr>
        <w:t xml:space="preserve"> </w:t>
      </w:r>
      <w:bookmarkEnd w:id="60"/>
    </w:p>
    <w:p w14:paraId="5072E4BA" w14:textId="0E9F59D4" w:rsidR="00AF2B4B" w:rsidRPr="00AF2B4B" w:rsidRDefault="00AF2B4B" w:rsidP="00B657BC">
      <w:pPr>
        <w:pStyle w:val="BodyTextIndent"/>
        <w:spacing w:after="240"/>
        <w:ind w:hanging="283"/>
      </w:pPr>
      <w:hyperlink r:id="rId69" w:history="1">
        <w:r w:rsidRPr="00B657BC">
          <w:rPr>
            <w:rStyle w:val="Hyperlink"/>
          </w:rPr>
          <w:t>Sections 46</w:t>
        </w:r>
      </w:hyperlink>
      <w:r w:rsidRPr="00AF2B4B">
        <w:t xml:space="preserve"> and </w:t>
      </w:r>
      <w:hyperlink r:id="rId70" w:history="1">
        <w:r w:rsidRPr="006F6C48">
          <w:rPr>
            <w:rStyle w:val="Hyperlink"/>
          </w:rPr>
          <w:t>47</w:t>
        </w:r>
      </w:hyperlink>
      <w:r w:rsidRPr="00AF2B4B">
        <w:t xml:space="preserve"> set out appeal provisions.</w:t>
      </w:r>
    </w:p>
    <w:p w14:paraId="74C5CB8A" w14:textId="126E9F81" w:rsidR="00373ED8" w:rsidRPr="00AF2B4B" w:rsidRDefault="00373ED8" w:rsidP="006F6C48">
      <w:pPr>
        <w:pStyle w:val="BodyTextIndent"/>
        <w:spacing w:after="240"/>
        <w:ind w:hanging="283"/>
      </w:pPr>
      <w:r>
        <w:t>Summary of the circumstances in which a DAPO may be appealed:</w:t>
      </w:r>
    </w:p>
    <w:tbl>
      <w:tblPr>
        <w:tblStyle w:val="TableGrid"/>
        <w:tblW w:w="9640" w:type="dxa"/>
        <w:tblInd w:w="277" w:type="dxa"/>
        <w:tblLook w:val="04A0" w:firstRow="1" w:lastRow="0" w:firstColumn="1" w:lastColumn="0" w:noHBand="0" w:noVBand="1"/>
      </w:tblPr>
      <w:tblGrid>
        <w:gridCol w:w="3686"/>
        <w:gridCol w:w="1985"/>
        <w:gridCol w:w="1984"/>
        <w:gridCol w:w="1985"/>
      </w:tblGrid>
      <w:tr w:rsidR="00373ED8" w14:paraId="6FA9D0AF"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31E5728" w14:textId="77777777" w:rsidR="00373ED8" w:rsidRDefault="00373ED8">
            <w:pPr>
              <w:pStyle w:val="NormalWeb"/>
              <w:rPr>
                <w:rFonts w:ascii="Arial" w:hAnsi="Arial"/>
              </w:rPr>
            </w:pPr>
            <w:r>
              <w:rPr>
                <w:rFonts w:ascii="Arial" w:hAnsi="Arial"/>
              </w:rPr>
              <w:t xml:space="preserve"> Person who may appeal</w:t>
            </w:r>
          </w:p>
        </w:tc>
        <w:tc>
          <w:tcPr>
            <w:tcW w:w="1985" w:type="dxa"/>
            <w:tcBorders>
              <w:top w:val="single" w:sz="4" w:space="0" w:color="auto"/>
              <w:left w:val="single" w:sz="4" w:space="0" w:color="auto"/>
              <w:bottom w:val="single" w:sz="4" w:space="0" w:color="auto"/>
              <w:right w:val="single" w:sz="4" w:space="0" w:color="auto"/>
            </w:tcBorders>
          </w:tcPr>
          <w:p w14:paraId="1E027446" w14:textId="77777777" w:rsidR="00373ED8" w:rsidRDefault="00373ED8">
            <w:pPr>
              <w:pStyle w:val="NormalWeb"/>
              <w:rPr>
                <w:rFonts w:ascii="Arial" w:hAnsi="Arial"/>
              </w:rPr>
            </w:pPr>
            <w:r>
              <w:rPr>
                <w:rFonts w:ascii="Arial" w:hAnsi="Arial"/>
              </w:rPr>
              <w:t xml:space="preserve">DAPO under </w:t>
            </w:r>
            <w:hyperlink r:id="rId71" w:history="1">
              <w:r>
                <w:rPr>
                  <w:rStyle w:val="Hyperlink"/>
                </w:rPr>
                <w:t>Section 28 of the DA Act 2021</w:t>
              </w:r>
            </w:hyperlink>
            <w:r>
              <w:rPr>
                <w:rFonts w:ascii="Arial" w:hAnsi="Arial"/>
              </w:rPr>
              <w:t xml:space="preserve"> – including following a DAPN being given</w:t>
            </w:r>
          </w:p>
          <w:p w14:paraId="5F3353A1" w14:textId="77777777" w:rsidR="00373ED8" w:rsidRDefault="00373ED8">
            <w:pPr>
              <w:pStyle w:val="NormalWeb"/>
              <w:rPr>
                <w:rFonts w:ascii="Arial" w:hAnsi="Arial"/>
              </w:rPr>
            </w:pPr>
          </w:p>
        </w:tc>
        <w:tc>
          <w:tcPr>
            <w:tcW w:w="1984" w:type="dxa"/>
            <w:tcBorders>
              <w:top w:val="single" w:sz="4" w:space="0" w:color="auto"/>
              <w:left w:val="single" w:sz="4" w:space="0" w:color="auto"/>
              <w:bottom w:val="single" w:sz="4" w:space="0" w:color="auto"/>
              <w:right w:val="single" w:sz="4" w:space="0" w:color="auto"/>
            </w:tcBorders>
            <w:hideMark/>
          </w:tcPr>
          <w:p w14:paraId="4F1C3C27" w14:textId="102A349C" w:rsidR="00373ED8" w:rsidRDefault="00373ED8">
            <w:pPr>
              <w:pStyle w:val="NormalWeb"/>
              <w:rPr>
                <w:rFonts w:ascii="Arial" w:hAnsi="Arial"/>
              </w:rPr>
            </w:pPr>
            <w:r w:rsidRPr="722E50A8">
              <w:rPr>
                <w:rFonts w:ascii="Arial" w:hAnsi="Arial"/>
              </w:rPr>
              <w:t xml:space="preserve">DAPO made of the court’s own </w:t>
            </w:r>
            <w:r w:rsidR="78CE2F98" w:rsidRPr="722E50A8">
              <w:rPr>
                <w:rFonts w:ascii="Arial" w:hAnsi="Arial"/>
              </w:rPr>
              <w:t>motion</w:t>
            </w:r>
            <w:r w:rsidRPr="722E50A8">
              <w:rPr>
                <w:rFonts w:ascii="Arial" w:hAnsi="Arial"/>
              </w:rPr>
              <w:t xml:space="preserve"> under </w:t>
            </w:r>
            <w:hyperlink r:id="rId72">
              <w:r w:rsidRPr="722E50A8">
                <w:rPr>
                  <w:rStyle w:val="Hyperlink"/>
                </w:rPr>
                <w:t>Section 31 of the DA Act 2021</w:t>
              </w:r>
            </w:hyperlink>
            <w:r w:rsidRPr="722E50A8">
              <w:rPr>
                <w:rFonts w:ascii="Arial" w:hAnsi="Arial"/>
              </w:rPr>
              <w:t xml:space="preserve"> as part of other proceedings</w:t>
            </w:r>
          </w:p>
        </w:tc>
        <w:tc>
          <w:tcPr>
            <w:tcW w:w="1985" w:type="dxa"/>
            <w:tcBorders>
              <w:top w:val="single" w:sz="4" w:space="0" w:color="auto"/>
              <w:left w:val="single" w:sz="4" w:space="0" w:color="auto"/>
              <w:bottom w:val="single" w:sz="4" w:space="0" w:color="auto"/>
              <w:right w:val="single" w:sz="4" w:space="0" w:color="auto"/>
            </w:tcBorders>
            <w:hideMark/>
          </w:tcPr>
          <w:p w14:paraId="093C76E4" w14:textId="77777777" w:rsidR="00373ED8" w:rsidRDefault="00373ED8">
            <w:pPr>
              <w:pStyle w:val="NormalWeb"/>
              <w:rPr>
                <w:rFonts w:ascii="Arial" w:hAnsi="Arial"/>
              </w:rPr>
            </w:pPr>
            <w:r>
              <w:rPr>
                <w:rFonts w:ascii="Arial" w:hAnsi="Arial"/>
              </w:rPr>
              <w:t xml:space="preserve">DAPO under </w:t>
            </w:r>
            <w:hyperlink r:id="rId73" w:history="1">
              <w:r>
                <w:rPr>
                  <w:rStyle w:val="Hyperlink"/>
                </w:rPr>
                <w:t>Section 44 of the DA Act 2021</w:t>
              </w:r>
            </w:hyperlink>
          </w:p>
        </w:tc>
      </w:tr>
      <w:tr w:rsidR="00373ED8" w14:paraId="220C53CA"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0B7AAD4" w14:textId="77777777" w:rsidR="00373ED8" w:rsidRDefault="00373ED8">
            <w:pPr>
              <w:pStyle w:val="NormalWeb"/>
              <w:rPr>
                <w:rFonts w:ascii="Arial" w:hAnsi="Arial"/>
              </w:rPr>
            </w:pPr>
            <w:r>
              <w:rPr>
                <w:rFonts w:ascii="Arial" w:hAnsi="Arial"/>
              </w:rPr>
              <w:t>The victim</w:t>
            </w:r>
          </w:p>
        </w:tc>
        <w:tc>
          <w:tcPr>
            <w:tcW w:w="1985" w:type="dxa"/>
            <w:tcBorders>
              <w:top w:val="single" w:sz="4" w:space="0" w:color="auto"/>
              <w:left w:val="single" w:sz="4" w:space="0" w:color="auto"/>
              <w:bottom w:val="single" w:sz="4" w:space="0" w:color="auto"/>
              <w:right w:val="single" w:sz="4" w:space="0" w:color="auto"/>
            </w:tcBorders>
            <w:hideMark/>
          </w:tcPr>
          <w:p w14:paraId="01217E88" w14:textId="77777777" w:rsidR="00373ED8" w:rsidRDefault="00373ED8">
            <w:pPr>
              <w:pStyle w:val="NormalWeb"/>
              <w:jc w:val="center"/>
              <w:rPr>
                <w:rFonts w:ascii="Arial" w:hAnsi="Arial"/>
              </w:rPr>
            </w:pPr>
            <w:r>
              <w:rPr>
                <w:rFonts w:ascii="Segoe UI Symbol" w:hAnsi="Segoe UI Symbol" w:cs="Segoe UI"/>
                <w:color w:val="444444"/>
              </w:rPr>
              <w:t>✓</w:t>
            </w:r>
          </w:p>
        </w:tc>
        <w:tc>
          <w:tcPr>
            <w:tcW w:w="1984" w:type="dxa"/>
            <w:tcBorders>
              <w:top w:val="single" w:sz="4" w:space="0" w:color="auto"/>
              <w:left w:val="single" w:sz="4" w:space="0" w:color="auto"/>
              <w:bottom w:val="single" w:sz="4" w:space="0" w:color="auto"/>
              <w:right w:val="single" w:sz="4" w:space="0" w:color="auto"/>
            </w:tcBorders>
            <w:hideMark/>
          </w:tcPr>
          <w:p w14:paraId="7CFFD004" w14:textId="77777777" w:rsidR="00373ED8" w:rsidRDefault="00373ED8">
            <w:pPr>
              <w:pStyle w:val="BodyText"/>
              <w:jc w:val="center"/>
              <w:rPr>
                <w:rFonts w:ascii="Arial" w:hAnsi="Arial"/>
              </w:rPr>
            </w:pPr>
            <w:r>
              <w:t>See footnote</w:t>
            </w:r>
            <w:r>
              <w:rPr>
                <w:rStyle w:val="FootnoteReference"/>
              </w:rPr>
              <w:footnoteReference w:id="14"/>
            </w:r>
          </w:p>
        </w:tc>
        <w:tc>
          <w:tcPr>
            <w:tcW w:w="1985" w:type="dxa"/>
            <w:tcBorders>
              <w:top w:val="single" w:sz="4" w:space="0" w:color="auto"/>
              <w:left w:val="single" w:sz="4" w:space="0" w:color="auto"/>
              <w:bottom w:val="single" w:sz="4" w:space="0" w:color="auto"/>
              <w:right w:val="single" w:sz="4" w:space="0" w:color="auto"/>
            </w:tcBorders>
            <w:hideMark/>
          </w:tcPr>
          <w:p w14:paraId="7CDC1486" w14:textId="77777777" w:rsidR="00373ED8" w:rsidRDefault="00373ED8">
            <w:pPr>
              <w:pStyle w:val="NormalWeb"/>
              <w:jc w:val="center"/>
              <w:rPr>
                <w:rFonts w:ascii="Arial" w:hAnsi="Arial"/>
              </w:rPr>
            </w:pPr>
            <w:r>
              <w:rPr>
                <w:rFonts w:ascii="Segoe UI Symbol" w:hAnsi="Segoe UI Symbol" w:cs="Segoe UI"/>
                <w:color w:val="444444"/>
              </w:rPr>
              <w:t>✓</w:t>
            </w:r>
          </w:p>
        </w:tc>
      </w:tr>
      <w:tr w:rsidR="00373ED8" w14:paraId="0B2347F7"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4DF730A4" w14:textId="77777777" w:rsidR="00373ED8" w:rsidRDefault="00373ED8">
            <w:pPr>
              <w:pStyle w:val="NormalWeb"/>
              <w:ind w:left="36" w:hanging="36"/>
              <w:rPr>
                <w:rFonts w:ascii="Arial" w:hAnsi="Arial"/>
              </w:rPr>
            </w:pPr>
            <w:r>
              <w:rPr>
                <w:rFonts w:ascii="Arial" w:hAnsi="Arial"/>
              </w:rPr>
              <w:t>The person who made the application (if different)</w:t>
            </w:r>
          </w:p>
        </w:tc>
        <w:tc>
          <w:tcPr>
            <w:tcW w:w="1985" w:type="dxa"/>
            <w:tcBorders>
              <w:top w:val="single" w:sz="4" w:space="0" w:color="auto"/>
              <w:left w:val="single" w:sz="4" w:space="0" w:color="auto"/>
              <w:bottom w:val="single" w:sz="4" w:space="0" w:color="auto"/>
              <w:right w:val="single" w:sz="4" w:space="0" w:color="auto"/>
            </w:tcBorders>
            <w:hideMark/>
          </w:tcPr>
          <w:p w14:paraId="1F11EFA1" w14:textId="77777777" w:rsidR="00373ED8" w:rsidRDefault="00373ED8">
            <w:pPr>
              <w:pStyle w:val="NormalWeb"/>
              <w:jc w:val="center"/>
              <w:rPr>
                <w:rFonts w:ascii="Arial" w:hAnsi="Arial"/>
              </w:rPr>
            </w:pPr>
            <w:r>
              <w:rPr>
                <w:rFonts w:ascii="Segoe UI Symbol" w:hAnsi="Segoe UI Symbol" w:cs="Segoe UI"/>
                <w:color w:val="444444"/>
              </w:rPr>
              <w:t>✓ </w:t>
            </w:r>
          </w:p>
        </w:tc>
        <w:tc>
          <w:tcPr>
            <w:tcW w:w="1984" w:type="dxa"/>
            <w:tcBorders>
              <w:top w:val="single" w:sz="4" w:space="0" w:color="auto"/>
              <w:left w:val="single" w:sz="4" w:space="0" w:color="auto"/>
              <w:bottom w:val="single" w:sz="4" w:space="0" w:color="auto"/>
              <w:right w:val="single" w:sz="4" w:space="0" w:color="auto"/>
            </w:tcBorders>
            <w:hideMark/>
          </w:tcPr>
          <w:p w14:paraId="0E22A41F" w14:textId="77777777" w:rsidR="00373ED8" w:rsidRDefault="00373ED8">
            <w:pPr>
              <w:pStyle w:val="NormalWeb"/>
              <w:jc w:val="center"/>
              <w:rPr>
                <w:rFonts w:ascii="Arial" w:hAnsi="Arial"/>
              </w:rPr>
            </w:pPr>
            <w:r>
              <w:rPr>
                <w:rFonts w:ascii="Arial" w:hAnsi="Arial"/>
              </w:rPr>
              <w:t>N/A</w:t>
            </w:r>
          </w:p>
        </w:tc>
        <w:tc>
          <w:tcPr>
            <w:tcW w:w="1985" w:type="dxa"/>
            <w:tcBorders>
              <w:top w:val="single" w:sz="4" w:space="0" w:color="auto"/>
              <w:left w:val="single" w:sz="4" w:space="0" w:color="auto"/>
              <w:bottom w:val="single" w:sz="4" w:space="0" w:color="auto"/>
              <w:right w:val="single" w:sz="4" w:space="0" w:color="auto"/>
            </w:tcBorders>
            <w:hideMark/>
          </w:tcPr>
          <w:p w14:paraId="61FEE851" w14:textId="77777777" w:rsidR="00373ED8" w:rsidRDefault="00373ED8">
            <w:pPr>
              <w:pStyle w:val="NormalWeb"/>
              <w:jc w:val="center"/>
              <w:rPr>
                <w:rFonts w:ascii="Arial" w:hAnsi="Arial"/>
              </w:rPr>
            </w:pPr>
            <w:r>
              <w:rPr>
                <w:rFonts w:ascii="Segoe UI Symbol" w:hAnsi="Segoe UI Symbol" w:cs="Segoe UI"/>
                <w:color w:val="444444"/>
              </w:rPr>
              <w:t>✓</w:t>
            </w:r>
          </w:p>
        </w:tc>
      </w:tr>
      <w:tr w:rsidR="00373ED8" w14:paraId="72D17D35"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38C8EB8" w14:textId="77777777" w:rsidR="00373ED8" w:rsidRDefault="00373ED8">
            <w:pPr>
              <w:pStyle w:val="NormalWeb"/>
              <w:ind w:left="36" w:hanging="36"/>
              <w:rPr>
                <w:rFonts w:ascii="Arial" w:hAnsi="Arial"/>
              </w:rPr>
            </w:pPr>
            <w:r>
              <w:rPr>
                <w:rFonts w:ascii="Arial" w:hAnsi="Arial"/>
              </w:rPr>
              <w:t>The defendant/perpetrator</w:t>
            </w:r>
          </w:p>
        </w:tc>
        <w:tc>
          <w:tcPr>
            <w:tcW w:w="1985" w:type="dxa"/>
            <w:tcBorders>
              <w:top w:val="single" w:sz="4" w:space="0" w:color="auto"/>
              <w:left w:val="single" w:sz="4" w:space="0" w:color="auto"/>
              <w:bottom w:val="single" w:sz="4" w:space="0" w:color="auto"/>
              <w:right w:val="single" w:sz="4" w:space="0" w:color="auto"/>
            </w:tcBorders>
            <w:hideMark/>
          </w:tcPr>
          <w:p w14:paraId="224C0755"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59C1FD3A" w14:textId="77777777" w:rsidR="00373ED8" w:rsidRDefault="00373ED8">
            <w:pPr>
              <w:pStyle w:val="NormalWeb"/>
              <w:jc w:val="center"/>
              <w:rPr>
                <w:rFonts w:ascii="Segoe UI Symbol" w:hAnsi="Segoe UI Symbol" w:cs="Segoe UI"/>
                <w:color w:val="444444"/>
              </w:rPr>
            </w:pPr>
            <w:r>
              <w:rPr>
                <w:rStyle w:val="BodyTextChar"/>
              </w:rPr>
              <w:t xml:space="preserve">(if the DAPO </w:t>
            </w:r>
            <w:r>
              <w:rPr>
                <w:rStyle w:val="BodyTextChar"/>
                <w:u w:val="single"/>
              </w:rPr>
              <w:t>is</w:t>
            </w:r>
            <w:r>
              <w:rPr>
                <w:rStyle w:val="BodyTextChar"/>
              </w:rPr>
              <w:t xml:space="preserve"> made)</w:t>
            </w:r>
          </w:p>
        </w:tc>
        <w:tc>
          <w:tcPr>
            <w:tcW w:w="1984" w:type="dxa"/>
            <w:tcBorders>
              <w:top w:val="single" w:sz="4" w:space="0" w:color="auto"/>
              <w:left w:val="single" w:sz="4" w:space="0" w:color="auto"/>
              <w:bottom w:val="single" w:sz="4" w:space="0" w:color="auto"/>
              <w:right w:val="single" w:sz="4" w:space="0" w:color="auto"/>
            </w:tcBorders>
          </w:tcPr>
          <w:p w14:paraId="021C8080"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1A7A6D98" w14:textId="77777777" w:rsidR="00373ED8" w:rsidRDefault="00373ED8">
            <w:pPr>
              <w:pStyle w:val="NormalWeb"/>
              <w:jc w:val="center"/>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65CB1172"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3A694038" w14:textId="77777777" w:rsidR="00373ED8" w:rsidRDefault="00373ED8">
            <w:pPr>
              <w:pStyle w:val="NormalWeb"/>
              <w:jc w:val="center"/>
              <w:rPr>
                <w:rFonts w:ascii="Arial" w:hAnsi="Arial"/>
              </w:rPr>
            </w:pPr>
          </w:p>
        </w:tc>
      </w:tr>
      <w:tr w:rsidR="00373ED8" w14:paraId="0B0534F0" w14:textId="77777777" w:rsidTr="64C25239">
        <w:trPr>
          <w:trHeight w:val="2465"/>
        </w:trPr>
        <w:tc>
          <w:tcPr>
            <w:tcW w:w="3686" w:type="dxa"/>
            <w:tcBorders>
              <w:top w:val="single" w:sz="4" w:space="0" w:color="auto"/>
              <w:left w:val="single" w:sz="4" w:space="0" w:color="auto"/>
              <w:bottom w:val="single" w:sz="4" w:space="0" w:color="auto"/>
              <w:right w:val="single" w:sz="4" w:space="0" w:color="auto"/>
            </w:tcBorders>
            <w:hideMark/>
          </w:tcPr>
          <w:p w14:paraId="69BD446D" w14:textId="77777777" w:rsidR="00373ED8" w:rsidRDefault="00373ED8">
            <w:pPr>
              <w:pStyle w:val="NormalWeb"/>
              <w:ind w:left="36" w:hanging="36"/>
              <w:rPr>
                <w:rFonts w:ascii="Arial" w:hAnsi="Arial"/>
              </w:rPr>
            </w:pPr>
            <w:r>
              <w:rPr>
                <w:rFonts w:ascii="Arial" w:hAnsi="Arial"/>
              </w:rPr>
              <w:lastRenderedPageBreak/>
              <w:t xml:space="preserve">The chief officer of police for the police force area where the perpetrator resides, or where they believe the perpetrator is or is intending to come to. </w:t>
            </w:r>
            <w:r>
              <w:rPr>
                <w:rFonts w:ascii="Arial" w:hAnsi="Arial"/>
                <w:b/>
                <w:bCs/>
              </w:rPr>
              <w:t xml:space="preserve">Please note that for the pilot this will only be applicable </w:t>
            </w:r>
            <w:r>
              <w:rPr>
                <w:rFonts w:ascii="Arial" w:hAnsi="Arial"/>
                <w:b/>
              </w:rPr>
              <w:t xml:space="preserve">where </w:t>
            </w:r>
            <w:r>
              <w:rPr>
                <w:rFonts w:ascii="Arial" w:hAnsi="Arial"/>
                <w:b/>
                <w:bCs/>
              </w:rPr>
              <w:t xml:space="preserve">the perpetrator resides in a piloting force. </w:t>
            </w:r>
          </w:p>
        </w:tc>
        <w:tc>
          <w:tcPr>
            <w:tcW w:w="1985" w:type="dxa"/>
            <w:tcBorders>
              <w:top w:val="single" w:sz="4" w:space="0" w:color="auto"/>
              <w:left w:val="single" w:sz="4" w:space="0" w:color="auto"/>
              <w:bottom w:val="single" w:sz="4" w:space="0" w:color="auto"/>
              <w:right w:val="single" w:sz="4" w:space="0" w:color="auto"/>
            </w:tcBorders>
            <w:hideMark/>
          </w:tcPr>
          <w:p w14:paraId="1CF6F246" w14:textId="77777777" w:rsidR="00373ED8" w:rsidRDefault="00373ED8">
            <w:pPr>
              <w:pStyle w:val="NormalWeb"/>
              <w:jc w:val="center"/>
              <w:rPr>
                <w:rFonts w:ascii="Arial" w:hAnsi="Arial"/>
              </w:rPr>
            </w:pPr>
            <w:r>
              <w:rPr>
                <w:rFonts w:ascii="Arial" w:hAnsi="Arial"/>
              </w:rPr>
              <w:t>X</w:t>
            </w:r>
          </w:p>
        </w:tc>
        <w:tc>
          <w:tcPr>
            <w:tcW w:w="1984" w:type="dxa"/>
            <w:tcBorders>
              <w:top w:val="single" w:sz="4" w:space="0" w:color="auto"/>
              <w:left w:val="single" w:sz="4" w:space="0" w:color="auto"/>
              <w:bottom w:val="single" w:sz="4" w:space="0" w:color="auto"/>
              <w:right w:val="single" w:sz="4" w:space="0" w:color="auto"/>
            </w:tcBorders>
            <w:hideMark/>
          </w:tcPr>
          <w:p w14:paraId="48B937C1" w14:textId="77777777" w:rsidR="00373ED8" w:rsidRDefault="00373ED8">
            <w:pPr>
              <w:pStyle w:val="NormalWeb"/>
              <w:jc w:val="center"/>
              <w:rPr>
                <w:rFonts w:ascii="Arial" w:hAnsi="Arial"/>
              </w:rPr>
            </w:pPr>
            <w:r>
              <w:rPr>
                <w:rFonts w:ascii="Arial" w:hAnsi="Arial"/>
              </w:rPr>
              <w:t>X</w:t>
            </w:r>
          </w:p>
        </w:tc>
        <w:tc>
          <w:tcPr>
            <w:tcW w:w="1985" w:type="dxa"/>
            <w:tcBorders>
              <w:top w:val="single" w:sz="4" w:space="0" w:color="auto"/>
              <w:left w:val="single" w:sz="4" w:space="0" w:color="auto"/>
              <w:bottom w:val="single" w:sz="4" w:space="0" w:color="auto"/>
              <w:right w:val="single" w:sz="4" w:space="0" w:color="auto"/>
            </w:tcBorders>
            <w:hideMark/>
          </w:tcPr>
          <w:p w14:paraId="049CB62B" w14:textId="77777777" w:rsidR="00373ED8" w:rsidRDefault="00373ED8">
            <w:pPr>
              <w:pStyle w:val="NormalWeb"/>
              <w:jc w:val="center"/>
              <w:rPr>
                <w:rFonts w:ascii="Arial" w:hAnsi="Arial"/>
              </w:rPr>
            </w:pPr>
            <w:r>
              <w:rPr>
                <w:rFonts w:ascii="Segoe UI Symbol" w:hAnsi="Segoe UI Symbol" w:cs="Segoe UI"/>
                <w:color w:val="444444"/>
              </w:rPr>
              <w:t>✓</w:t>
            </w:r>
          </w:p>
        </w:tc>
      </w:tr>
    </w:tbl>
    <w:p w14:paraId="022A832C" w14:textId="30AB061F" w:rsidR="00373ED8" w:rsidRDefault="00373ED8" w:rsidP="006F6C48">
      <w:pPr>
        <w:pStyle w:val="NormalWeb"/>
        <w:spacing w:before="0" w:beforeAutospacing="0" w:after="240" w:afterAutospacing="0" w:line="276" w:lineRule="auto"/>
        <w:rPr>
          <w:rFonts w:ascii="Arial" w:hAnsi="Arial"/>
        </w:rPr>
      </w:pPr>
    </w:p>
    <w:p w14:paraId="33F6DCC4"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The appeal must be made to the appropriate court, which varies depending on the circumstances in which the DAPO or the relevant decision in relation to the DAPO was made:</w:t>
      </w:r>
    </w:p>
    <w:p w14:paraId="2080245F" w14:textId="77777777" w:rsidR="00373ED8" w:rsidRDefault="00373ED8" w:rsidP="00CD3F30">
      <w:pPr>
        <w:pStyle w:val="ListParagraph"/>
        <w:numPr>
          <w:ilvl w:val="0"/>
          <w:numId w:val="35"/>
        </w:numPr>
        <w:spacing w:after="240" w:line="276" w:lineRule="auto"/>
        <w:ind w:left="1560" w:hanging="426"/>
      </w:pPr>
      <w:r>
        <w:t>Where the DAPO, or the decision in relation to the DAPO, was made by a magistrates’ court, the appeal must be made to the Crown Court (section 46(7)(a)</w:t>
      </w:r>
      <w:proofErr w:type="gramStart"/>
      <w:r>
        <w:t>);</w:t>
      </w:r>
      <w:proofErr w:type="gramEnd"/>
    </w:p>
    <w:p w14:paraId="6F0020D5" w14:textId="77777777" w:rsidR="00373ED8" w:rsidRDefault="00373ED8" w:rsidP="00373ED8">
      <w:pPr>
        <w:pStyle w:val="ListParagraph"/>
        <w:ind w:left="1560" w:hanging="426"/>
      </w:pPr>
    </w:p>
    <w:p w14:paraId="72F880CA" w14:textId="77777777" w:rsidR="00373ED8" w:rsidRDefault="00373ED8" w:rsidP="00CD3F30">
      <w:pPr>
        <w:pStyle w:val="ListParagraph"/>
        <w:numPr>
          <w:ilvl w:val="0"/>
          <w:numId w:val="35"/>
        </w:numPr>
        <w:spacing w:after="240" w:line="276" w:lineRule="auto"/>
        <w:ind w:left="1560" w:hanging="426"/>
      </w:pPr>
      <w:r>
        <w:t>Where the DAPO, or the decision in relation to the DAPO, was made by a Crown Court, the appeal must be made to the Court of Appeal (section 46(7)(b)</w:t>
      </w:r>
      <w:proofErr w:type="gramStart"/>
      <w:r>
        <w:t>);</w:t>
      </w:r>
      <w:proofErr w:type="gramEnd"/>
    </w:p>
    <w:p w14:paraId="4271B780" w14:textId="77777777" w:rsidR="00373ED8" w:rsidRDefault="00373ED8" w:rsidP="00373ED8">
      <w:pPr>
        <w:pStyle w:val="ListParagraph"/>
        <w:ind w:left="1560" w:hanging="426"/>
      </w:pPr>
    </w:p>
    <w:p w14:paraId="1F99758E" w14:textId="77777777" w:rsidR="00373ED8" w:rsidRDefault="00373ED8" w:rsidP="00CD3F30">
      <w:pPr>
        <w:pStyle w:val="ListParagraph"/>
        <w:numPr>
          <w:ilvl w:val="0"/>
          <w:numId w:val="35"/>
        </w:numPr>
        <w:spacing w:after="240" w:line="276" w:lineRule="auto"/>
        <w:ind w:left="1560" w:hanging="426"/>
      </w:pPr>
      <w:r>
        <w:t xml:space="preserve">Appeals against decisions made by other courts (the family court, county court, or High Court) will be heard in accordance with existing legislation, which is set out at </w:t>
      </w:r>
      <w:hyperlink r:id="rId74" w:history="1">
        <w:r>
          <w:rPr>
            <w:rStyle w:val="Hyperlink"/>
          </w:rPr>
          <w:t>Section 46(9)</w:t>
        </w:r>
      </w:hyperlink>
      <w:r>
        <w:t>.</w:t>
      </w:r>
    </w:p>
    <w:p w14:paraId="5D3F8A12"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Before determining an appeal in relation to a DAPO, the court must hear from the chief officer of police, if they wish to be heard:</w:t>
      </w:r>
    </w:p>
    <w:p w14:paraId="69A0CB4C" w14:textId="78F67E6A" w:rsidR="00373ED8" w:rsidRDefault="00E84392" w:rsidP="00CD3F30">
      <w:pPr>
        <w:pStyle w:val="NormalWeb"/>
        <w:numPr>
          <w:ilvl w:val="0"/>
          <w:numId w:val="36"/>
        </w:numPr>
        <w:spacing w:before="0" w:beforeAutospacing="0" w:after="240" w:afterAutospacing="0" w:line="276" w:lineRule="auto"/>
        <w:ind w:left="1560" w:hanging="426"/>
        <w:rPr>
          <w:rFonts w:ascii="Arial" w:hAnsi="Arial"/>
        </w:rPr>
      </w:pPr>
      <w:r>
        <w:rPr>
          <w:rFonts w:ascii="Arial" w:hAnsi="Arial"/>
        </w:rPr>
        <w:t xml:space="preserve">Where </w:t>
      </w:r>
      <w:r w:rsidR="00373ED8">
        <w:rPr>
          <w:rFonts w:ascii="Arial" w:hAnsi="Arial"/>
        </w:rPr>
        <w:t>the DAPO</w:t>
      </w:r>
      <w:r w:rsidR="00E336EF">
        <w:rPr>
          <w:rFonts w:ascii="Arial" w:hAnsi="Arial"/>
        </w:rPr>
        <w:t xml:space="preserve"> was made on application by a chief officer of police, that chief </w:t>
      </w:r>
      <w:proofErr w:type="gramStart"/>
      <w:r w:rsidR="00E336EF">
        <w:rPr>
          <w:rFonts w:ascii="Arial" w:hAnsi="Arial"/>
        </w:rPr>
        <w:t>officer</w:t>
      </w:r>
      <w:r w:rsidR="00373ED8">
        <w:rPr>
          <w:rFonts w:ascii="Arial" w:hAnsi="Arial"/>
        </w:rPr>
        <w:t>;</w:t>
      </w:r>
      <w:proofErr w:type="gramEnd"/>
    </w:p>
    <w:p w14:paraId="58A41EFD" w14:textId="5BE1420E" w:rsidR="00373ED8" w:rsidRPr="008C5E69" w:rsidRDefault="008C5E69" w:rsidP="008C5E69">
      <w:pPr>
        <w:pStyle w:val="NormalWeb"/>
        <w:numPr>
          <w:ilvl w:val="0"/>
          <w:numId w:val="36"/>
        </w:numPr>
        <w:spacing w:before="0" w:beforeAutospacing="0" w:after="240" w:afterAutospacing="0" w:line="276" w:lineRule="auto"/>
        <w:ind w:left="1560" w:hanging="426"/>
        <w:rPr>
          <w:rFonts w:ascii="Arial" w:hAnsi="Arial"/>
        </w:rPr>
      </w:pPr>
      <w:r>
        <w:rPr>
          <w:rFonts w:ascii="Arial" w:hAnsi="Arial"/>
        </w:rPr>
        <w:t xml:space="preserve">The chief officer </w:t>
      </w:r>
      <w:r w:rsidR="00373ED8">
        <w:rPr>
          <w:rFonts w:ascii="Arial" w:hAnsi="Arial"/>
        </w:rPr>
        <w:t xml:space="preserve">from the police force area where the perpetrator resides, or where they believe the perpetrator is or is intending to come to, </w:t>
      </w:r>
      <w:r w:rsidR="00373ED8" w:rsidRPr="008C5E69">
        <w:rPr>
          <w:rFonts w:ascii="Arial" w:hAnsi="Arial"/>
          <w:b/>
          <w:bCs/>
        </w:rPr>
        <w:t>even if they did not originally apply for the DAPO</w:t>
      </w:r>
      <w:r w:rsidR="00373ED8" w:rsidRPr="008C5E69">
        <w:rPr>
          <w:rFonts w:ascii="Arial" w:hAnsi="Arial"/>
        </w:rPr>
        <w:t>.</w:t>
      </w:r>
    </w:p>
    <w:p w14:paraId="2B45BDD5"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For the pilot, where a higher court must hear the appeal and one is not available in the piloting area, the relevant court in a non-piloting area can hear the appeal.</w:t>
      </w:r>
    </w:p>
    <w:p w14:paraId="2D9059C4"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 xml:space="preserve">These provisions – specifically </w:t>
      </w:r>
      <w:hyperlink r:id="rId75" w:history="1">
        <w:r>
          <w:rPr>
            <w:rStyle w:val="Hyperlink"/>
          </w:rPr>
          <w:t>Sections 46(5)</w:t>
        </w:r>
      </w:hyperlink>
      <w:r>
        <w:rPr>
          <w:rFonts w:ascii="Arial" w:hAnsi="Arial"/>
        </w:rPr>
        <w:t xml:space="preserve"> and </w:t>
      </w:r>
      <w:hyperlink r:id="rId76" w:history="1">
        <w:r>
          <w:rPr>
            <w:rStyle w:val="Hyperlink"/>
          </w:rPr>
          <w:t>47(1)</w:t>
        </w:r>
      </w:hyperlink>
      <w:r>
        <w:rPr>
          <w:rFonts w:ascii="Arial" w:hAnsi="Arial"/>
        </w:rPr>
        <w:t xml:space="preserve"> – mean that, where they wish to do so, the police are still able to appeal a decision to vary or discharge a DAPO, or to be heard in respect of an appeal relating to a DAPO, even where they did not originally apply for that DAPO. This allows the police to put forward relevant evidence or intelligence which they may have regarding the level of risk posed to the victim by the perpetrator or the nature of their abusive behaviour, even where the </w:t>
      </w:r>
      <w:r>
        <w:rPr>
          <w:rFonts w:ascii="Arial" w:hAnsi="Arial"/>
        </w:rPr>
        <w:lastRenderedPageBreak/>
        <w:t xml:space="preserve">original DAPO was obtained via a different </w:t>
      </w:r>
      <w:proofErr w:type="gramStart"/>
      <w:r>
        <w:rPr>
          <w:rFonts w:ascii="Arial" w:hAnsi="Arial"/>
        </w:rPr>
        <w:t>route</w:t>
      </w:r>
      <w:proofErr w:type="gramEnd"/>
      <w:r>
        <w:rPr>
          <w:rFonts w:ascii="Arial" w:hAnsi="Arial"/>
        </w:rPr>
        <w:t xml:space="preserve"> or the police have not previously been involved in the case.</w:t>
      </w:r>
    </w:p>
    <w:p w14:paraId="59E4E6DE" w14:textId="6F0A6116" w:rsidR="00652F48" w:rsidRPr="00652F48" w:rsidRDefault="00373ED8" w:rsidP="006F6C48">
      <w:pPr>
        <w:pStyle w:val="BodyText"/>
      </w:pPr>
      <w:hyperlink r:id="rId77" w:history="1">
        <w:r>
          <w:rPr>
            <w:rStyle w:val="Hyperlink"/>
          </w:rPr>
          <w:t>Section 47(4)</w:t>
        </w:r>
      </w:hyperlink>
      <w:r>
        <w:t xml:space="preserve"> sets out what may happen as the result of a successful appeal. This includes the court confirming, varying or revoking any part of the </w:t>
      </w:r>
      <w:proofErr w:type="gramStart"/>
      <w:r>
        <w:t>decision</w:t>
      </w:r>
      <w:proofErr w:type="gramEnd"/>
      <w:r>
        <w:t xml:space="preserve"> which was appealed against, or referring the matter back to the lower court and directing it to reconsider its decision.</w:t>
      </w:r>
    </w:p>
    <w:p w14:paraId="2416689A" w14:textId="0B387CFE" w:rsidR="009C6A4C" w:rsidRPr="00D73700" w:rsidRDefault="00D72952" w:rsidP="00D73700">
      <w:pPr>
        <w:pStyle w:val="Heading1briefing"/>
      </w:pPr>
      <w:bookmarkStart w:id="61" w:name="_Toc181202778"/>
      <w:r w:rsidRPr="00D73700">
        <w:t>How DAPOs fit into exi</w:t>
      </w:r>
      <w:r w:rsidR="009E28B2">
        <w:t>s</w:t>
      </w:r>
      <w:r w:rsidRPr="00D73700">
        <w:t>ting order landscape</w:t>
      </w:r>
      <w:bookmarkEnd w:id="61"/>
    </w:p>
    <w:p w14:paraId="22B58F9B" w14:textId="23D76E79" w:rsidR="006F46AA" w:rsidRDefault="00426939" w:rsidP="00E879CB">
      <w:pPr>
        <w:jc w:val="both"/>
      </w:pPr>
      <w:r>
        <w:t>DAPO brings together</w:t>
      </w:r>
      <w:r w:rsidR="008C3B02">
        <w:t xml:space="preserve"> the strongest elements from existing </w:t>
      </w:r>
      <w:r w:rsidR="00000708">
        <w:t xml:space="preserve">protective </w:t>
      </w:r>
      <w:r w:rsidR="008C3B02">
        <w:t xml:space="preserve">orders into a single new order. </w:t>
      </w:r>
      <w:r w:rsidR="007D0D0F">
        <w:t>For example, i</w:t>
      </w:r>
      <w:r w:rsidR="008C3B02">
        <w:t>n comparison to DVPOs</w:t>
      </w:r>
      <w:r w:rsidR="00CD5318">
        <w:t xml:space="preserve">, DAPOs are not time-limited to </w:t>
      </w:r>
      <w:r w:rsidR="00614B8E">
        <w:t xml:space="preserve">a maximum of </w:t>
      </w:r>
      <w:r w:rsidR="00CD5318">
        <w:t>28 days and the breach is a criminal offence. I</w:t>
      </w:r>
      <w:r w:rsidR="0065096B">
        <w:t>n comparison to non</w:t>
      </w:r>
      <w:r w:rsidR="00402CE1">
        <w:t>-</w:t>
      </w:r>
      <w:r w:rsidR="0065096B">
        <w:t>molestation orders, DAPOs carry</w:t>
      </w:r>
      <w:r w:rsidR="007D0D0F">
        <w:t xml:space="preserve"> a wider range of conditions that can be imposed</w:t>
      </w:r>
      <w:r w:rsidR="00EC7A42">
        <w:t>. DAPO</w:t>
      </w:r>
      <w:r w:rsidR="00FE2580">
        <w:t xml:space="preserve">s incorporate some features that are more commonly found in the criminal space, such as electronic tagging, mandating attendance on behaviour change programmes and mandatory notification of perpetrator’s </w:t>
      </w:r>
      <w:r w:rsidR="000B4609">
        <w:t xml:space="preserve">name and address to the police, </w:t>
      </w:r>
      <w:r w:rsidR="00536099">
        <w:t>this notification</w:t>
      </w:r>
      <w:r w:rsidR="000B4609">
        <w:t xml:space="preserve"> currently app</w:t>
      </w:r>
      <w:r w:rsidR="00DC1CF0">
        <w:t>lying</w:t>
      </w:r>
      <w:r w:rsidR="000B4609">
        <w:t xml:space="preserve"> </w:t>
      </w:r>
      <w:r w:rsidR="00DC1CF0">
        <w:t>for</w:t>
      </w:r>
      <w:r w:rsidR="000B4609">
        <w:t xml:space="preserve"> certain sex offences, and </w:t>
      </w:r>
      <w:r w:rsidR="006C39C0">
        <w:t xml:space="preserve">is part of the Stalking Protection Order. The table below </w:t>
      </w:r>
      <w:r w:rsidR="00D9460B">
        <w:t>shows how DAPOs compare to existing orders in a summary format:</w:t>
      </w:r>
    </w:p>
    <w:tbl>
      <w:tblPr>
        <w:tblStyle w:val="TableGrid"/>
        <w:tblW w:w="10491" w:type="dxa"/>
        <w:tblInd w:w="-431" w:type="dxa"/>
        <w:tblLook w:val="04A0" w:firstRow="1" w:lastRow="0" w:firstColumn="1" w:lastColumn="0" w:noHBand="0" w:noVBand="1"/>
      </w:tblPr>
      <w:tblGrid>
        <w:gridCol w:w="1560"/>
        <w:gridCol w:w="2268"/>
        <w:gridCol w:w="1667"/>
        <w:gridCol w:w="1877"/>
        <w:gridCol w:w="1559"/>
        <w:gridCol w:w="1560"/>
      </w:tblGrid>
      <w:tr w:rsidR="00284155" w:rsidRPr="001B38D7" w14:paraId="2138E992" w14:textId="77777777" w:rsidTr="64C25239">
        <w:tc>
          <w:tcPr>
            <w:tcW w:w="1560" w:type="dxa"/>
            <w:tcBorders>
              <w:bottom w:val="single" w:sz="4" w:space="0" w:color="auto"/>
            </w:tcBorders>
            <w:shd w:val="clear" w:color="auto" w:fill="7030A0"/>
          </w:tcPr>
          <w:p w14:paraId="782807E0" w14:textId="77777777" w:rsidR="00E93485" w:rsidRPr="001B38D7" w:rsidRDefault="00E93485">
            <w:pPr>
              <w:rPr>
                <w:rFonts w:ascii="Arial" w:hAnsi="Arial" w:cs="Arial"/>
                <w:b/>
                <w:bCs/>
                <w:color w:val="FFFFFF" w:themeColor="background1"/>
                <w:sz w:val="24"/>
                <w:szCs w:val="24"/>
              </w:rPr>
            </w:pPr>
          </w:p>
        </w:tc>
        <w:tc>
          <w:tcPr>
            <w:tcW w:w="2268" w:type="dxa"/>
            <w:shd w:val="clear" w:color="auto" w:fill="7030A0"/>
          </w:tcPr>
          <w:p w14:paraId="32C31FE0"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Jurisdictions where available</w:t>
            </w:r>
          </w:p>
        </w:tc>
        <w:tc>
          <w:tcPr>
            <w:tcW w:w="1667" w:type="dxa"/>
            <w:shd w:val="clear" w:color="auto" w:fill="7030A0"/>
          </w:tcPr>
          <w:p w14:paraId="02AAA5D3"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Who can apply / make an order</w:t>
            </w:r>
          </w:p>
        </w:tc>
        <w:tc>
          <w:tcPr>
            <w:tcW w:w="1877" w:type="dxa"/>
            <w:shd w:val="clear" w:color="auto" w:fill="7030A0"/>
          </w:tcPr>
          <w:p w14:paraId="67A85422"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Conditions that can be imposed</w:t>
            </w:r>
          </w:p>
        </w:tc>
        <w:tc>
          <w:tcPr>
            <w:tcW w:w="1559" w:type="dxa"/>
            <w:shd w:val="clear" w:color="auto" w:fill="7030A0"/>
          </w:tcPr>
          <w:p w14:paraId="3FB09D4E"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Duration</w:t>
            </w:r>
          </w:p>
        </w:tc>
        <w:tc>
          <w:tcPr>
            <w:tcW w:w="1560" w:type="dxa"/>
            <w:shd w:val="clear" w:color="auto" w:fill="7030A0"/>
          </w:tcPr>
          <w:p w14:paraId="758F9AF7"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Breach</w:t>
            </w:r>
          </w:p>
        </w:tc>
      </w:tr>
      <w:tr w:rsidR="001B38D7" w:rsidRPr="001B38D7" w14:paraId="7B102701" w14:textId="77777777" w:rsidTr="64C25239">
        <w:tc>
          <w:tcPr>
            <w:tcW w:w="1560" w:type="dxa"/>
            <w:shd w:val="clear" w:color="auto" w:fill="FFF2CC" w:themeFill="accent4" w:themeFillTint="33"/>
          </w:tcPr>
          <w:p w14:paraId="1F6558FD" w14:textId="77777777" w:rsidR="00E93485" w:rsidRPr="006F46AA" w:rsidRDefault="00E93485">
            <w:pPr>
              <w:rPr>
                <w:rFonts w:ascii="Arial" w:hAnsi="Arial" w:cs="Arial"/>
                <w:b/>
                <w:bCs/>
                <w:sz w:val="24"/>
                <w:szCs w:val="24"/>
              </w:rPr>
            </w:pPr>
            <w:r w:rsidRPr="006F46AA">
              <w:rPr>
                <w:rFonts w:ascii="Arial" w:hAnsi="Arial" w:cs="Arial"/>
                <w:b/>
                <w:bCs/>
                <w:sz w:val="24"/>
                <w:szCs w:val="24"/>
              </w:rPr>
              <w:t>DVPOs</w:t>
            </w:r>
          </w:p>
        </w:tc>
        <w:tc>
          <w:tcPr>
            <w:tcW w:w="2268" w:type="dxa"/>
          </w:tcPr>
          <w:p w14:paraId="0E139850" w14:textId="77777777" w:rsidR="00E93485" w:rsidRPr="001B38D7" w:rsidRDefault="00E93485">
            <w:pPr>
              <w:rPr>
                <w:rFonts w:ascii="Arial" w:hAnsi="Arial" w:cs="Arial"/>
                <w:sz w:val="24"/>
                <w:szCs w:val="24"/>
              </w:rPr>
            </w:pPr>
            <w:r w:rsidRPr="001B38D7">
              <w:rPr>
                <w:rFonts w:ascii="Arial" w:hAnsi="Arial" w:cs="Arial"/>
                <w:sz w:val="24"/>
                <w:szCs w:val="24"/>
              </w:rPr>
              <w:t>Magistrates’ (civil proceedings)</w:t>
            </w:r>
          </w:p>
        </w:tc>
        <w:tc>
          <w:tcPr>
            <w:tcW w:w="1667" w:type="dxa"/>
          </w:tcPr>
          <w:p w14:paraId="20C6E398" w14:textId="77777777" w:rsidR="00E93485" w:rsidRPr="001B38D7" w:rsidRDefault="00E93485">
            <w:pPr>
              <w:rPr>
                <w:rFonts w:ascii="Arial" w:hAnsi="Arial" w:cs="Arial"/>
                <w:sz w:val="24"/>
                <w:szCs w:val="24"/>
              </w:rPr>
            </w:pPr>
            <w:r w:rsidRPr="001B38D7">
              <w:rPr>
                <w:rFonts w:ascii="Arial" w:hAnsi="Arial" w:cs="Arial"/>
                <w:sz w:val="24"/>
                <w:szCs w:val="24"/>
              </w:rPr>
              <w:t>police</w:t>
            </w:r>
          </w:p>
        </w:tc>
        <w:tc>
          <w:tcPr>
            <w:tcW w:w="1877" w:type="dxa"/>
          </w:tcPr>
          <w:p w14:paraId="09161058"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tc>
        <w:tc>
          <w:tcPr>
            <w:tcW w:w="1559" w:type="dxa"/>
          </w:tcPr>
          <w:p w14:paraId="2E7DB671" w14:textId="2DCA4C64" w:rsidR="00E93485" w:rsidRPr="001B38D7" w:rsidRDefault="00A8477E">
            <w:pPr>
              <w:rPr>
                <w:rFonts w:ascii="Arial" w:hAnsi="Arial" w:cs="Arial"/>
                <w:sz w:val="24"/>
                <w:szCs w:val="24"/>
              </w:rPr>
            </w:pPr>
            <w:r>
              <w:rPr>
                <w:rFonts w:ascii="Arial" w:hAnsi="Arial" w:cs="Arial"/>
                <w:sz w:val="24"/>
                <w:szCs w:val="24"/>
              </w:rPr>
              <w:t xml:space="preserve">Maximum </w:t>
            </w:r>
            <w:r w:rsidR="00E93485" w:rsidRPr="001B38D7">
              <w:rPr>
                <w:rFonts w:ascii="Arial" w:hAnsi="Arial" w:cs="Arial"/>
                <w:sz w:val="24"/>
                <w:szCs w:val="24"/>
              </w:rPr>
              <w:t>28 days</w:t>
            </w:r>
          </w:p>
        </w:tc>
        <w:tc>
          <w:tcPr>
            <w:tcW w:w="1560" w:type="dxa"/>
          </w:tcPr>
          <w:p w14:paraId="27CCE8EA" w14:textId="77777777" w:rsidR="00E93485" w:rsidRPr="001B38D7" w:rsidRDefault="00E93485">
            <w:pPr>
              <w:rPr>
                <w:rFonts w:ascii="Arial" w:hAnsi="Arial" w:cs="Arial"/>
                <w:sz w:val="24"/>
                <w:szCs w:val="24"/>
              </w:rPr>
            </w:pPr>
            <w:r w:rsidRPr="001B38D7">
              <w:rPr>
                <w:rFonts w:ascii="Arial" w:hAnsi="Arial" w:cs="Arial"/>
                <w:sz w:val="24"/>
                <w:szCs w:val="24"/>
              </w:rPr>
              <w:t>civil</w:t>
            </w:r>
          </w:p>
        </w:tc>
      </w:tr>
      <w:tr w:rsidR="001B38D7" w:rsidRPr="001B38D7" w14:paraId="3A0F003F" w14:textId="77777777" w:rsidTr="64C25239">
        <w:tc>
          <w:tcPr>
            <w:tcW w:w="1560" w:type="dxa"/>
            <w:shd w:val="clear" w:color="auto" w:fill="FFF2CC" w:themeFill="accent4" w:themeFillTint="33"/>
          </w:tcPr>
          <w:p w14:paraId="35B554F0" w14:textId="77777777" w:rsidR="00E93485" w:rsidRPr="006F46AA" w:rsidRDefault="00E93485">
            <w:pPr>
              <w:rPr>
                <w:rFonts w:ascii="Arial" w:hAnsi="Arial" w:cs="Arial"/>
                <w:b/>
                <w:bCs/>
                <w:sz w:val="24"/>
                <w:szCs w:val="24"/>
              </w:rPr>
            </w:pPr>
            <w:r w:rsidRPr="006F46AA">
              <w:rPr>
                <w:rFonts w:ascii="Arial" w:hAnsi="Arial" w:cs="Arial"/>
                <w:b/>
                <w:bCs/>
                <w:sz w:val="24"/>
                <w:szCs w:val="24"/>
              </w:rPr>
              <w:t>ROs</w:t>
            </w:r>
          </w:p>
        </w:tc>
        <w:tc>
          <w:tcPr>
            <w:tcW w:w="2268" w:type="dxa"/>
          </w:tcPr>
          <w:p w14:paraId="08885388" w14:textId="77777777" w:rsidR="00E93485" w:rsidRPr="001B38D7" w:rsidRDefault="00E93485">
            <w:pPr>
              <w:rPr>
                <w:rFonts w:ascii="Arial" w:hAnsi="Arial" w:cs="Arial"/>
                <w:sz w:val="24"/>
                <w:szCs w:val="24"/>
              </w:rPr>
            </w:pPr>
            <w:r w:rsidRPr="001B38D7">
              <w:rPr>
                <w:rFonts w:ascii="Arial" w:hAnsi="Arial" w:cs="Arial"/>
                <w:sz w:val="24"/>
                <w:szCs w:val="24"/>
              </w:rPr>
              <w:t xml:space="preserve">Magistrates’ or Crown Court (criminal proceedings) </w:t>
            </w:r>
          </w:p>
        </w:tc>
        <w:tc>
          <w:tcPr>
            <w:tcW w:w="1667" w:type="dxa"/>
          </w:tcPr>
          <w:p w14:paraId="70F941CC" w14:textId="77777777" w:rsidR="00E93485" w:rsidRPr="001B38D7" w:rsidRDefault="00E93485">
            <w:pPr>
              <w:rPr>
                <w:rFonts w:ascii="Arial" w:hAnsi="Arial" w:cs="Arial"/>
                <w:sz w:val="24"/>
                <w:szCs w:val="24"/>
              </w:rPr>
            </w:pPr>
            <w:r w:rsidRPr="001B38D7">
              <w:rPr>
                <w:rFonts w:ascii="Arial" w:hAnsi="Arial" w:cs="Arial"/>
                <w:sz w:val="24"/>
                <w:szCs w:val="24"/>
              </w:rPr>
              <w:t>CPS (usually working with the police), court of its own initiative</w:t>
            </w:r>
          </w:p>
        </w:tc>
        <w:tc>
          <w:tcPr>
            <w:tcW w:w="1877" w:type="dxa"/>
          </w:tcPr>
          <w:p w14:paraId="255E348F"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tc>
        <w:tc>
          <w:tcPr>
            <w:tcW w:w="1559" w:type="dxa"/>
          </w:tcPr>
          <w:p w14:paraId="2A1318C2"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39A996E7" w14:textId="77777777" w:rsidR="00E93485" w:rsidRPr="001B38D7" w:rsidRDefault="00E93485">
            <w:pPr>
              <w:rPr>
                <w:rFonts w:ascii="Arial" w:hAnsi="Arial" w:cs="Arial"/>
                <w:sz w:val="24"/>
                <w:szCs w:val="24"/>
              </w:rPr>
            </w:pPr>
            <w:r w:rsidRPr="001B38D7">
              <w:rPr>
                <w:rFonts w:ascii="Arial" w:hAnsi="Arial" w:cs="Arial"/>
                <w:sz w:val="24"/>
                <w:szCs w:val="24"/>
              </w:rPr>
              <w:t>Criminal offence</w:t>
            </w:r>
          </w:p>
        </w:tc>
      </w:tr>
      <w:tr w:rsidR="00635447" w:rsidRPr="001B38D7" w14:paraId="47697BA2" w14:textId="77777777" w:rsidTr="64C25239">
        <w:tc>
          <w:tcPr>
            <w:tcW w:w="1560" w:type="dxa"/>
            <w:shd w:val="clear" w:color="auto" w:fill="FFF2CC" w:themeFill="accent4" w:themeFillTint="33"/>
          </w:tcPr>
          <w:p w14:paraId="79733A72" w14:textId="74AE89BD" w:rsidR="00635447" w:rsidRPr="006F46AA" w:rsidRDefault="00F776DE">
            <w:pPr>
              <w:rPr>
                <w:rFonts w:ascii="Arial" w:hAnsi="Arial" w:cs="Arial"/>
                <w:b/>
                <w:bCs/>
                <w:sz w:val="24"/>
                <w:szCs w:val="24"/>
              </w:rPr>
            </w:pPr>
            <w:r w:rsidRPr="006F46AA">
              <w:rPr>
                <w:rFonts w:ascii="Arial" w:hAnsi="Arial" w:cs="Arial"/>
                <w:b/>
                <w:bCs/>
                <w:sz w:val="24"/>
                <w:szCs w:val="24"/>
              </w:rPr>
              <w:t>Civil injunctions</w:t>
            </w:r>
          </w:p>
        </w:tc>
        <w:tc>
          <w:tcPr>
            <w:tcW w:w="2268" w:type="dxa"/>
          </w:tcPr>
          <w:p w14:paraId="5496315B" w14:textId="114903FF" w:rsidR="00635447" w:rsidRPr="005249C9" w:rsidRDefault="003F1D18">
            <w:pPr>
              <w:rPr>
                <w:rFonts w:ascii="Arial" w:hAnsi="Arial" w:cs="Arial"/>
                <w:sz w:val="24"/>
                <w:szCs w:val="24"/>
              </w:rPr>
            </w:pPr>
            <w:r w:rsidRPr="005249C9">
              <w:rPr>
                <w:rFonts w:ascii="Arial" w:hAnsi="Arial" w:cs="Arial"/>
                <w:sz w:val="24"/>
                <w:szCs w:val="24"/>
              </w:rPr>
              <w:t xml:space="preserve">County court or </w:t>
            </w:r>
            <w:r w:rsidR="00943F0D">
              <w:rPr>
                <w:rFonts w:ascii="Arial" w:hAnsi="Arial" w:cs="Arial"/>
                <w:sz w:val="24"/>
                <w:szCs w:val="24"/>
              </w:rPr>
              <w:t xml:space="preserve">the </w:t>
            </w:r>
            <w:r w:rsidRPr="005249C9">
              <w:rPr>
                <w:rFonts w:ascii="Arial" w:hAnsi="Arial" w:cs="Arial"/>
                <w:sz w:val="24"/>
                <w:szCs w:val="24"/>
              </w:rPr>
              <w:t>High Court</w:t>
            </w:r>
          </w:p>
        </w:tc>
        <w:tc>
          <w:tcPr>
            <w:tcW w:w="1667" w:type="dxa"/>
          </w:tcPr>
          <w:p w14:paraId="20F05956" w14:textId="4BD32637" w:rsidR="00635447" w:rsidRPr="005249C9" w:rsidRDefault="001216C5">
            <w:pPr>
              <w:rPr>
                <w:rFonts w:ascii="Arial" w:hAnsi="Arial" w:cs="Arial"/>
                <w:sz w:val="24"/>
                <w:szCs w:val="24"/>
              </w:rPr>
            </w:pPr>
            <w:r w:rsidRPr="005249C9">
              <w:rPr>
                <w:rFonts w:ascii="Arial" w:hAnsi="Arial" w:cs="Arial"/>
                <w:sz w:val="24"/>
                <w:szCs w:val="24"/>
              </w:rPr>
              <w:t>victim</w:t>
            </w:r>
          </w:p>
        </w:tc>
        <w:tc>
          <w:tcPr>
            <w:tcW w:w="1877" w:type="dxa"/>
          </w:tcPr>
          <w:p w14:paraId="3F9FF396" w14:textId="75B30534" w:rsidR="00635447" w:rsidRPr="005249C9" w:rsidRDefault="001216C5">
            <w:pPr>
              <w:rPr>
                <w:rFonts w:ascii="Arial" w:hAnsi="Arial" w:cs="Arial"/>
                <w:sz w:val="24"/>
                <w:szCs w:val="24"/>
              </w:rPr>
            </w:pPr>
            <w:r w:rsidRPr="005249C9">
              <w:rPr>
                <w:rFonts w:ascii="Arial" w:hAnsi="Arial" w:cs="Arial"/>
                <w:sz w:val="24"/>
                <w:szCs w:val="24"/>
              </w:rPr>
              <w:t>Restrictions and prohibitions</w:t>
            </w:r>
          </w:p>
        </w:tc>
        <w:tc>
          <w:tcPr>
            <w:tcW w:w="1559" w:type="dxa"/>
          </w:tcPr>
          <w:p w14:paraId="765095EF" w14:textId="03885571" w:rsidR="00635447" w:rsidRPr="001B38D7" w:rsidRDefault="001216C5">
            <w:r w:rsidRPr="001B38D7">
              <w:rPr>
                <w:rFonts w:ascii="Arial" w:hAnsi="Arial" w:cs="Arial"/>
                <w:sz w:val="24"/>
                <w:szCs w:val="24"/>
              </w:rPr>
              <w:t>No specific limit</w:t>
            </w:r>
          </w:p>
        </w:tc>
        <w:tc>
          <w:tcPr>
            <w:tcW w:w="1560" w:type="dxa"/>
          </w:tcPr>
          <w:p w14:paraId="0C94E6DE" w14:textId="7D1E955A" w:rsidR="00635447" w:rsidRPr="001B38D7" w:rsidRDefault="001216C5">
            <w:r w:rsidRPr="001B38D7">
              <w:rPr>
                <w:rFonts w:ascii="Arial" w:hAnsi="Arial" w:cs="Arial"/>
                <w:sz w:val="24"/>
                <w:szCs w:val="24"/>
              </w:rPr>
              <w:t>Criminal offence</w:t>
            </w:r>
          </w:p>
        </w:tc>
      </w:tr>
      <w:tr w:rsidR="001B38D7" w:rsidRPr="001B38D7" w14:paraId="4A22C3E9" w14:textId="77777777" w:rsidTr="64C25239">
        <w:tc>
          <w:tcPr>
            <w:tcW w:w="1560" w:type="dxa"/>
            <w:shd w:val="clear" w:color="auto" w:fill="FFF2CC" w:themeFill="accent4" w:themeFillTint="33"/>
          </w:tcPr>
          <w:p w14:paraId="6C89530A" w14:textId="77777777" w:rsidR="00E93485" w:rsidRPr="006F46AA" w:rsidRDefault="00E93485">
            <w:pPr>
              <w:rPr>
                <w:rFonts w:ascii="Arial" w:hAnsi="Arial" w:cs="Arial"/>
                <w:b/>
                <w:bCs/>
                <w:sz w:val="24"/>
                <w:szCs w:val="24"/>
              </w:rPr>
            </w:pPr>
            <w:r w:rsidRPr="006F46AA">
              <w:rPr>
                <w:rFonts w:ascii="Arial" w:hAnsi="Arial" w:cs="Arial"/>
                <w:b/>
                <w:bCs/>
                <w:sz w:val="24"/>
                <w:szCs w:val="24"/>
              </w:rPr>
              <w:t>SPOs</w:t>
            </w:r>
          </w:p>
        </w:tc>
        <w:tc>
          <w:tcPr>
            <w:tcW w:w="2268" w:type="dxa"/>
          </w:tcPr>
          <w:p w14:paraId="6B43A4E2" w14:textId="1FC55971" w:rsidR="00E93485" w:rsidRPr="001B38D7" w:rsidRDefault="00E93485">
            <w:pPr>
              <w:rPr>
                <w:rFonts w:ascii="Arial" w:hAnsi="Arial" w:cs="Arial"/>
                <w:sz w:val="24"/>
                <w:szCs w:val="24"/>
              </w:rPr>
            </w:pPr>
            <w:r w:rsidRPr="001B38D7">
              <w:rPr>
                <w:rFonts w:ascii="Arial" w:hAnsi="Arial" w:cs="Arial"/>
                <w:sz w:val="24"/>
                <w:szCs w:val="24"/>
              </w:rPr>
              <w:t>Magistrates’ (civil proceedings)</w:t>
            </w:r>
          </w:p>
        </w:tc>
        <w:tc>
          <w:tcPr>
            <w:tcW w:w="1667" w:type="dxa"/>
          </w:tcPr>
          <w:p w14:paraId="1D1974DB" w14:textId="77777777" w:rsidR="00E93485" w:rsidRPr="001B38D7" w:rsidRDefault="00E93485">
            <w:pPr>
              <w:rPr>
                <w:rFonts w:ascii="Arial" w:hAnsi="Arial" w:cs="Arial"/>
                <w:sz w:val="24"/>
                <w:szCs w:val="24"/>
              </w:rPr>
            </w:pPr>
            <w:r w:rsidRPr="001B38D7">
              <w:rPr>
                <w:rFonts w:ascii="Arial" w:hAnsi="Arial" w:cs="Arial"/>
                <w:sz w:val="24"/>
                <w:szCs w:val="24"/>
              </w:rPr>
              <w:t>police</w:t>
            </w:r>
          </w:p>
        </w:tc>
        <w:tc>
          <w:tcPr>
            <w:tcW w:w="1877" w:type="dxa"/>
          </w:tcPr>
          <w:p w14:paraId="74A4A7AF"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6BC1D244" w14:textId="77777777" w:rsidR="00E93485" w:rsidRPr="001B38D7" w:rsidRDefault="00E93485">
            <w:pPr>
              <w:rPr>
                <w:rFonts w:ascii="Arial" w:hAnsi="Arial" w:cs="Arial"/>
                <w:sz w:val="24"/>
                <w:szCs w:val="24"/>
              </w:rPr>
            </w:pPr>
            <w:r w:rsidRPr="001B38D7">
              <w:rPr>
                <w:rFonts w:ascii="Arial" w:hAnsi="Arial" w:cs="Arial"/>
                <w:sz w:val="24"/>
                <w:szCs w:val="24"/>
              </w:rPr>
              <w:t>Positive requirements</w:t>
            </w:r>
          </w:p>
          <w:p w14:paraId="05AC77EA" w14:textId="77777777" w:rsidR="00E93485" w:rsidRPr="001B38D7" w:rsidRDefault="00E93485">
            <w:pPr>
              <w:rPr>
                <w:rFonts w:ascii="Arial" w:hAnsi="Arial" w:cs="Arial"/>
                <w:sz w:val="24"/>
                <w:szCs w:val="24"/>
              </w:rPr>
            </w:pPr>
            <w:r w:rsidRPr="001B38D7">
              <w:rPr>
                <w:rFonts w:ascii="Arial" w:hAnsi="Arial" w:cs="Arial"/>
                <w:sz w:val="24"/>
                <w:szCs w:val="24"/>
              </w:rPr>
              <w:t>Mandatory notification</w:t>
            </w:r>
          </w:p>
        </w:tc>
        <w:tc>
          <w:tcPr>
            <w:tcW w:w="1559" w:type="dxa"/>
          </w:tcPr>
          <w:p w14:paraId="4480ED33"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2118A947" w14:textId="77777777" w:rsidR="00E93485" w:rsidRPr="001B38D7" w:rsidRDefault="00E93485">
            <w:pPr>
              <w:rPr>
                <w:rFonts w:ascii="Arial" w:hAnsi="Arial" w:cs="Arial"/>
                <w:sz w:val="24"/>
                <w:szCs w:val="24"/>
              </w:rPr>
            </w:pPr>
            <w:r w:rsidRPr="001B38D7">
              <w:rPr>
                <w:rFonts w:ascii="Arial" w:hAnsi="Arial" w:cs="Arial"/>
                <w:sz w:val="24"/>
                <w:szCs w:val="24"/>
              </w:rPr>
              <w:t>Criminal offence</w:t>
            </w:r>
          </w:p>
        </w:tc>
      </w:tr>
      <w:tr w:rsidR="001B38D7" w:rsidRPr="001B38D7" w14:paraId="6DFFA1EF" w14:textId="77777777" w:rsidTr="64C25239">
        <w:tc>
          <w:tcPr>
            <w:tcW w:w="1560" w:type="dxa"/>
            <w:shd w:val="clear" w:color="auto" w:fill="FFF2CC" w:themeFill="accent4" w:themeFillTint="33"/>
          </w:tcPr>
          <w:p w14:paraId="32C2A78C" w14:textId="77777777" w:rsidR="00E93485" w:rsidRPr="006F46AA" w:rsidRDefault="00E93485">
            <w:pPr>
              <w:rPr>
                <w:rFonts w:ascii="Arial" w:hAnsi="Arial" w:cs="Arial"/>
                <w:b/>
                <w:bCs/>
                <w:sz w:val="24"/>
                <w:szCs w:val="24"/>
              </w:rPr>
            </w:pPr>
            <w:r w:rsidRPr="006F46AA">
              <w:rPr>
                <w:rFonts w:ascii="Arial" w:hAnsi="Arial" w:cs="Arial"/>
                <w:b/>
                <w:bCs/>
                <w:sz w:val="24"/>
                <w:szCs w:val="24"/>
              </w:rPr>
              <w:t>NMOs/OOs</w:t>
            </w:r>
          </w:p>
        </w:tc>
        <w:tc>
          <w:tcPr>
            <w:tcW w:w="2268" w:type="dxa"/>
          </w:tcPr>
          <w:p w14:paraId="70A280E5" w14:textId="77777777" w:rsidR="00E93485" w:rsidRPr="001B38D7" w:rsidRDefault="00E93485">
            <w:pPr>
              <w:rPr>
                <w:rFonts w:ascii="Arial" w:hAnsi="Arial" w:cs="Arial"/>
                <w:sz w:val="24"/>
                <w:szCs w:val="24"/>
              </w:rPr>
            </w:pPr>
            <w:r w:rsidRPr="001B38D7">
              <w:rPr>
                <w:rFonts w:ascii="Arial" w:hAnsi="Arial" w:cs="Arial"/>
                <w:sz w:val="24"/>
                <w:szCs w:val="24"/>
              </w:rPr>
              <w:t>family</w:t>
            </w:r>
          </w:p>
        </w:tc>
        <w:tc>
          <w:tcPr>
            <w:tcW w:w="1667" w:type="dxa"/>
          </w:tcPr>
          <w:p w14:paraId="2537C5A2" w14:textId="77777777" w:rsidR="00E93485" w:rsidRPr="001B38D7" w:rsidRDefault="00E93485">
            <w:pPr>
              <w:rPr>
                <w:rFonts w:ascii="Arial" w:hAnsi="Arial" w:cs="Arial"/>
                <w:sz w:val="24"/>
                <w:szCs w:val="24"/>
              </w:rPr>
            </w:pPr>
            <w:r w:rsidRPr="001B38D7">
              <w:rPr>
                <w:rFonts w:ascii="Arial" w:hAnsi="Arial" w:cs="Arial"/>
                <w:sz w:val="24"/>
                <w:szCs w:val="24"/>
              </w:rPr>
              <w:t>victim</w:t>
            </w:r>
          </w:p>
        </w:tc>
        <w:tc>
          <w:tcPr>
            <w:tcW w:w="1877" w:type="dxa"/>
          </w:tcPr>
          <w:p w14:paraId="67A595D1"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56715515" w14:textId="77777777" w:rsidR="00E93485" w:rsidRPr="001B38D7" w:rsidRDefault="00E93485">
            <w:pPr>
              <w:rPr>
                <w:rFonts w:ascii="Arial" w:hAnsi="Arial" w:cs="Arial"/>
                <w:sz w:val="24"/>
                <w:szCs w:val="24"/>
              </w:rPr>
            </w:pPr>
            <w:r w:rsidRPr="001B38D7">
              <w:rPr>
                <w:rFonts w:ascii="Arial" w:hAnsi="Arial" w:cs="Arial"/>
                <w:sz w:val="24"/>
                <w:szCs w:val="24"/>
              </w:rPr>
              <w:t>Some positive obligations in relation to property (OOs)</w:t>
            </w:r>
          </w:p>
        </w:tc>
        <w:tc>
          <w:tcPr>
            <w:tcW w:w="1559" w:type="dxa"/>
          </w:tcPr>
          <w:p w14:paraId="54D9DE85"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453A70A1" w14:textId="63068CAA" w:rsidR="00E93485" w:rsidRPr="001B38D7" w:rsidRDefault="00E93485">
            <w:pPr>
              <w:rPr>
                <w:rFonts w:ascii="Arial" w:hAnsi="Arial" w:cs="Arial"/>
                <w:sz w:val="24"/>
                <w:szCs w:val="24"/>
              </w:rPr>
            </w:pPr>
            <w:r w:rsidRPr="001B38D7">
              <w:rPr>
                <w:rFonts w:ascii="Arial" w:hAnsi="Arial" w:cs="Arial"/>
                <w:sz w:val="24"/>
                <w:szCs w:val="24"/>
              </w:rPr>
              <w:t>NMOs – criminal</w:t>
            </w:r>
            <w:r w:rsidR="00BC4E31">
              <w:rPr>
                <w:rFonts w:ascii="Arial" w:hAnsi="Arial" w:cs="Arial"/>
                <w:sz w:val="24"/>
                <w:szCs w:val="24"/>
              </w:rPr>
              <w:t xml:space="preserve"> offence</w:t>
            </w:r>
            <w:r w:rsidRPr="001B38D7">
              <w:rPr>
                <w:rFonts w:ascii="Arial" w:hAnsi="Arial" w:cs="Arial"/>
                <w:sz w:val="24"/>
                <w:szCs w:val="24"/>
              </w:rPr>
              <w:t>, OOs - civil</w:t>
            </w:r>
          </w:p>
        </w:tc>
      </w:tr>
      <w:tr w:rsidR="001B38D7" w:rsidRPr="001B38D7" w14:paraId="2CAD9915" w14:textId="77777777" w:rsidTr="64C25239">
        <w:tc>
          <w:tcPr>
            <w:tcW w:w="1560" w:type="dxa"/>
            <w:shd w:val="clear" w:color="auto" w:fill="FFF2CC" w:themeFill="accent4" w:themeFillTint="33"/>
          </w:tcPr>
          <w:p w14:paraId="02F438AD" w14:textId="77777777" w:rsidR="00E93485" w:rsidRPr="006F46AA" w:rsidRDefault="7AABAA50">
            <w:pPr>
              <w:rPr>
                <w:rFonts w:ascii="Arial" w:hAnsi="Arial" w:cs="Arial"/>
                <w:b/>
                <w:bCs/>
                <w:sz w:val="24"/>
                <w:szCs w:val="24"/>
              </w:rPr>
            </w:pPr>
            <w:r w:rsidRPr="64C25239">
              <w:rPr>
                <w:rFonts w:ascii="Arial" w:hAnsi="Arial" w:cs="Arial"/>
                <w:b/>
                <w:bCs/>
                <w:sz w:val="24"/>
                <w:szCs w:val="24"/>
              </w:rPr>
              <w:lastRenderedPageBreak/>
              <w:t>DAPOs</w:t>
            </w:r>
          </w:p>
        </w:tc>
        <w:tc>
          <w:tcPr>
            <w:tcW w:w="2268" w:type="dxa"/>
          </w:tcPr>
          <w:p w14:paraId="0DEAE9DE" w14:textId="489B0A6E" w:rsidR="00CE56CD" w:rsidRPr="001B38D7" w:rsidRDefault="48F8C5F9">
            <w:pPr>
              <w:rPr>
                <w:rFonts w:ascii="Arial" w:hAnsi="Arial" w:cs="Arial"/>
                <w:sz w:val="24"/>
                <w:szCs w:val="24"/>
              </w:rPr>
            </w:pPr>
            <w:r w:rsidRPr="65E6ED6A">
              <w:rPr>
                <w:rFonts w:ascii="Arial" w:hAnsi="Arial" w:cs="Arial"/>
                <w:b/>
                <w:bCs/>
                <w:sz w:val="24"/>
                <w:szCs w:val="24"/>
              </w:rPr>
              <w:t>F</w:t>
            </w:r>
            <w:r w:rsidR="7C7AADE3" w:rsidRPr="65E6ED6A">
              <w:rPr>
                <w:rFonts w:ascii="Arial" w:hAnsi="Arial" w:cs="Arial"/>
                <w:b/>
                <w:bCs/>
                <w:sz w:val="24"/>
                <w:szCs w:val="24"/>
              </w:rPr>
              <w:t>amily</w:t>
            </w:r>
            <w:r w:rsidRPr="65E6ED6A">
              <w:rPr>
                <w:rFonts w:ascii="Arial" w:hAnsi="Arial" w:cs="Arial"/>
                <w:b/>
                <w:bCs/>
                <w:sz w:val="24"/>
                <w:szCs w:val="24"/>
              </w:rPr>
              <w:t xml:space="preserve"> </w:t>
            </w:r>
            <w:r w:rsidRPr="65E6ED6A">
              <w:rPr>
                <w:rFonts w:ascii="Arial" w:hAnsi="Arial" w:cs="Arial"/>
                <w:sz w:val="24"/>
                <w:szCs w:val="24"/>
              </w:rPr>
              <w:t>(standalone and within other ongoing proceedings</w:t>
            </w:r>
            <w:r w:rsidR="00BC5DE2">
              <w:rPr>
                <w:rFonts w:ascii="Arial" w:hAnsi="Arial" w:cs="Arial"/>
                <w:sz w:val="24"/>
                <w:szCs w:val="24"/>
              </w:rPr>
              <w:t xml:space="preserve"> – family court or the Family division of the High Court</w:t>
            </w:r>
            <w:r w:rsidRPr="65E6ED6A">
              <w:rPr>
                <w:rFonts w:ascii="Arial" w:hAnsi="Arial" w:cs="Arial"/>
                <w:sz w:val="24"/>
                <w:szCs w:val="24"/>
              </w:rPr>
              <w:t>)</w:t>
            </w:r>
          </w:p>
          <w:p w14:paraId="1B1BD847" w14:textId="67D7416B" w:rsidR="00E93485" w:rsidRPr="001B38D7" w:rsidRDefault="00E14B89">
            <w:pPr>
              <w:rPr>
                <w:rFonts w:ascii="Arial" w:hAnsi="Arial" w:cs="Arial"/>
                <w:sz w:val="24"/>
                <w:szCs w:val="24"/>
              </w:rPr>
            </w:pPr>
            <w:r>
              <w:rPr>
                <w:rFonts w:ascii="Arial" w:hAnsi="Arial" w:cs="Arial"/>
                <w:b/>
                <w:bCs/>
                <w:sz w:val="24"/>
                <w:szCs w:val="24"/>
              </w:rPr>
              <w:t>C</w:t>
            </w:r>
            <w:r w:rsidR="00E93485" w:rsidRPr="007D7880">
              <w:rPr>
                <w:rFonts w:ascii="Arial" w:hAnsi="Arial" w:cs="Arial"/>
                <w:b/>
                <w:bCs/>
                <w:sz w:val="24"/>
                <w:szCs w:val="24"/>
              </w:rPr>
              <w:t>ivil</w:t>
            </w:r>
            <w:r w:rsidR="009B6CFD">
              <w:rPr>
                <w:rFonts w:ascii="Arial" w:hAnsi="Arial" w:cs="Arial"/>
                <w:b/>
                <w:bCs/>
                <w:sz w:val="24"/>
                <w:szCs w:val="24"/>
              </w:rPr>
              <w:t xml:space="preserve"> </w:t>
            </w:r>
            <w:r w:rsidR="00755EC6">
              <w:rPr>
                <w:rFonts w:ascii="Arial" w:hAnsi="Arial" w:cs="Arial"/>
                <w:sz w:val="24"/>
                <w:szCs w:val="24"/>
              </w:rPr>
              <w:t>- c</w:t>
            </w:r>
            <w:r w:rsidR="00B57C32">
              <w:rPr>
                <w:rFonts w:ascii="Arial" w:hAnsi="Arial" w:cs="Arial"/>
                <w:sz w:val="24"/>
                <w:szCs w:val="24"/>
              </w:rPr>
              <w:t>ounty court</w:t>
            </w:r>
            <w:r w:rsidR="001D36B2">
              <w:rPr>
                <w:rFonts w:ascii="Arial" w:hAnsi="Arial" w:cs="Arial"/>
                <w:sz w:val="24"/>
                <w:szCs w:val="24"/>
              </w:rPr>
              <w:t xml:space="preserve"> </w:t>
            </w:r>
            <w:r w:rsidR="00036FD0">
              <w:rPr>
                <w:rFonts w:ascii="Arial" w:hAnsi="Arial" w:cs="Arial"/>
                <w:sz w:val="24"/>
                <w:szCs w:val="24"/>
              </w:rPr>
              <w:t>within other ongoing proceedings</w:t>
            </w:r>
            <w:r w:rsidR="00E93485" w:rsidRPr="001B38D7">
              <w:rPr>
                <w:rFonts w:ascii="Arial" w:hAnsi="Arial" w:cs="Arial"/>
                <w:sz w:val="24"/>
                <w:szCs w:val="24"/>
              </w:rPr>
              <w:t>)</w:t>
            </w:r>
            <w:r w:rsidR="00036FD0">
              <w:rPr>
                <w:rFonts w:ascii="Arial" w:hAnsi="Arial" w:cs="Arial"/>
                <w:sz w:val="24"/>
                <w:szCs w:val="24"/>
              </w:rPr>
              <w:t xml:space="preserve"> </w:t>
            </w:r>
          </w:p>
          <w:p w14:paraId="3A6E8AD1" w14:textId="6C64535C" w:rsidR="00CE56CD" w:rsidRPr="001B38D7" w:rsidRDefault="00E14B89">
            <w:pPr>
              <w:rPr>
                <w:rFonts w:ascii="Arial" w:hAnsi="Arial" w:cs="Arial"/>
                <w:sz w:val="24"/>
                <w:szCs w:val="24"/>
              </w:rPr>
            </w:pPr>
            <w:r>
              <w:rPr>
                <w:rFonts w:ascii="Arial" w:hAnsi="Arial" w:cs="Arial"/>
                <w:b/>
                <w:bCs/>
                <w:sz w:val="24"/>
                <w:szCs w:val="24"/>
              </w:rPr>
              <w:t>M</w:t>
            </w:r>
            <w:r w:rsidR="00E93485" w:rsidRPr="007D7880">
              <w:rPr>
                <w:rFonts w:ascii="Arial" w:hAnsi="Arial" w:cs="Arial"/>
                <w:b/>
                <w:bCs/>
                <w:sz w:val="24"/>
                <w:szCs w:val="24"/>
              </w:rPr>
              <w:t>agistrates’</w:t>
            </w:r>
            <w:r w:rsidR="00E93485" w:rsidRPr="001B38D7">
              <w:rPr>
                <w:rFonts w:ascii="Arial" w:hAnsi="Arial" w:cs="Arial"/>
                <w:sz w:val="24"/>
                <w:szCs w:val="24"/>
              </w:rPr>
              <w:t xml:space="preserve"> </w:t>
            </w:r>
            <w:r w:rsidR="00CE56CD" w:rsidRPr="001B38D7">
              <w:rPr>
                <w:rFonts w:ascii="Arial" w:hAnsi="Arial" w:cs="Arial"/>
                <w:sz w:val="24"/>
                <w:szCs w:val="24"/>
              </w:rPr>
              <w:t>(civil proceedings</w:t>
            </w:r>
            <w:r w:rsidR="007D7880">
              <w:rPr>
                <w:rFonts w:ascii="Arial" w:hAnsi="Arial" w:cs="Arial"/>
                <w:sz w:val="24"/>
                <w:szCs w:val="24"/>
              </w:rPr>
              <w:t>, standalone or following a DAPN</w:t>
            </w:r>
            <w:r w:rsidR="00CE56CD" w:rsidRPr="001B38D7">
              <w:rPr>
                <w:rFonts w:ascii="Arial" w:hAnsi="Arial" w:cs="Arial"/>
                <w:sz w:val="24"/>
                <w:szCs w:val="24"/>
              </w:rPr>
              <w:t>)</w:t>
            </w:r>
          </w:p>
          <w:p w14:paraId="1644DACF" w14:textId="05A04B52" w:rsidR="00E93485" w:rsidRPr="001B38D7" w:rsidRDefault="00CE56CD">
            <w:pPr>
              <w:rPr>
                <w:rFonts w:ascii="Arial" w:hAnsi="Arial" w:cs="Arial"/>
                <w:sz w:val="24"/>
                <w:szCs w:val="24"/>
              </w:rPr>
            </w:pPr>
            <w:r w:rsidRPr="00610786">
              <w:rPr>
                <w:rFonts w:ascii="Arial" w:hAnsi="Arial" w:cs="Arial"/>
                <w:b/>
                <w:bCs/>
                <w:sz w:val="24"/>
                <w:szCs w:val="24"/>
              </w:rPr>
              <w:t xml:space="preserve">Magistrates’ </w:t>
            </w:r>
            <w:r w:rsidR="00E93485" w:rsidRPr="00610786">
              <w:rPr>
                <w:rFonts w:ascii="Arial" w:hAnsi="Arial" w:cs="Arial"/>
                <w:b/>
                <w:bCs/>
                <w:sz w:val="24"/>
                <w:szCs w:val="24"/>
              </w:rPr>
              <w:t>and Crown Court</w:t>
            </w:r>
            <w:r w:rsidRPr="001B38D7">
              <w:rPr>
                <w:rFonts w:ascii="Arial" w:hAnsi="Arial" w:cs="Arial"/>
                <w:sz w:val="24"/>
                <w:szCs w:val="24"/>
              </w:rPr>
              <w:t xml:space="preserve"> (in ongoing criminal proceedings</w:t>
            </w:r>
            <w:r w:rsidR="00771190">
              <w:rPr>
                <w:rFonts w:ascii="Arial" w:hAnsi="Arial" w:cs="Arial"/>
                <w:sz w:val="24"/>
                <w:szCs w:val="24"/>
              </w:rPr>
              <w:t xml:space="preserve"> or breach of DAPO</w:t>
            </w:r>
            <w:r w:rsidRPr="001B38D7">
              <w:rPr>
                <w:rFonts w:ascii="Arial" w:hAnsi="Arial" w:cs="Arial"/>
                <w:sz w:val="24"/>
                <w:szCs w:val="24"/>
              </w:rPr>
              <w:t>)</w:t>
            </w:r>
          </w:p>
        </w:tc>
        <w:tc>
          <w:tcPr>
            <w:tcW w:w="1667" w:type="dxa"/>
          </w:tcPr>
          <w:p w14:paraId="6A8B07D2" w14:textId="25A9A0CC" w:rsidR="00E93485" w:rsidRDefault="00E93485">
            <w:pPr>
              <w:rPr>
                <w:rFonts w:ascii="Arial" w:hAnsi="Arial" w:cs="Arial"/>
                <w:sz w:val="24"/>
                <w:szCs w:val="24"/>
              </w:rPr>
            </w:pPr>
            <w:r w:rsidRPr="001B38D7">
              <w:rPr>
                <w:rFonts w:ascii="Arial" w:hAnsi="Arial" w:cs="Arial"/>
                <w:sz w:val="24"/>
                <w:szCs w:val="24"/>
              </w:rPr>
              <w:t>Victim and</w:t>
            </w:r>
            <w:r w:rsidR="008E50A1">
              <w:rPr>
                <w:rFonts w:ascii="Arial" w:hAnsi="Arial" w:cs="Arial"/>
                <w:sz w:val="24"/>
                <w:szCs w:val="24"/>
              </w:rPr>
              <w:t>,</w:t>
            </w:r>
            <w:r w:rsidRPr="001B38D7">
              <w:rPr>
                <w:rFonts w:ascii="Arial" w:hAnsi="Arial" w:cs="Arial"/>
                <w:sz w:val="24"/>
                <w:szCs w:val="24"/>
              </w:rPr>
              <w:t xml:space="preserve"> 3</w:t>
            </w:r>
            <w:r w:rsidRPr="001B38D7">
              <w:rPr>
                <w:rFonts w:ascii="Arial" w:hAnsi="Arial" w:cs="Arial"/>
                <w:sz w:val="24"/>
                <w:szCs w:val="24"/>
                <w:vertAlign w:val="superscript"/>
              </w:rPr>
              <w:t>rd</w:t>
            </w:r>
            <w:r w:rsidRPr="001B38D7">
              <w:rPr>
                <w:rFonts w:ascii="Arial" w:hAnsi="Arial" w:cs="Arial"/>
                <w:sz w:val="24"/>
                <w:szCs w:val="24"/>
              </w:rPr>
              <w:t xml:space="preserve"> parties with leave</w:t>
            </w:r>
            <w:r w:rsidR="008E50A1">
              <w:rPr>
                <w:rFonts w:ascii="Arial" w:hAnsi="Arial" w:cs="Arial"/>
                <w:sz w:val="24"/>
                <w:szCs w:val="24"/>
              </w:rPr>
              <w:t>,</w:t>
            </w:r>
            <w:r w:rsidRPr="001B38D7">
              <w:rPr>
                <w:rFonts w:ascii="Arial" w:hAnsi="Arial" w:cs="Arial"/>
                <w:sz w:val="24"/>
                <w:szCs w:val="24"/>
              </w:rPr>
              <w:t xml:space="preserve"> in the family court</w:t>
            </w:r>
          </w:p>
          <w:p w14:paraId="3FC16783" w14:textId="77777777" w:rsidR="00CF251C" w:rsidRPr="001B38D7" w:rsidRDefault="00CF251C">
            <w:pPr>
              <w:rPr>
                <w:rFonts w:ascii="Arial" w:hAnsi="Arial" w:cs="Arial"/>
                <w:sz w:val="24"/>
                <w:szCs w:val="24"/>
              </w:rPr>
            </w:pPr>
          </w:p>
          <w:p w14:paraId="72B7EE35" w14:textId="5FDEF4BE" w:rsidR="00E93485" w:rsidRDefault="00E93485">
            <w:pPr>
              <w:rPr>
                <w:rFonts w:ascii="Arial" w:hAnsi="Arial" w:cs="Arial"/>
                <w:sz w:val="24"/>
                <w:szCs w:val="24"/>
              </w:rPr>
            </w:pPr>
            <w:r w:rsidRPr="001B38D7">
              <w:rPr>
                <w:rFonts w:ascii="Arial" w:hAnsi="Arial" w:cs="Arial"/>
                <w:sz w:val="24"/>
                <w:szCs w:val="24"/>
              </w:rPr>
              <w:t xml:space="preserve">Police in the </w:t>
            </w:r>
            <w:r w:rsidR="005F47A8">
              <w:rPr>
                <w:rFonts w:ascii="Arial" w:hAnsi="Arial" w:cs="Arial"/>
                <w:sz w:val="24"/>
                <w:szCs w:val="24"/>
              </w:rPr>
              <w:t>M</w:t>
            </w:r>
            <w:r w:rsidRPr="001B38D7">
              <w:rPr>
                <w:rFonts w:ascii="Arial" w:hAnsi="Arial" w:cs="Arial"/>
                <w:sz w:val="24"/>
                <w:szCs w:val="24"/>
              </w:rPr>
              <w:t>agistrates’</w:t>
            </w:r>
          </w:p>
          <w:p w14:paraId="79E5920F" w14:textId="77777777" w:rsidR="00CF251C" w:rsidRPr="001B38D7" w:rsidRDefault="00CF251C">
            <w:pPr>
              <w:rPr>
                <w:rFonts w:ascii="Arial" w:hAnsi="Arial" w:cs="Arial"/>
                <w:sz w:val="24"/>
                <w:szCs w:val="24"/>
              </w:rPr>
            </w:pPr>
          </w:p>
          <w:p w14:paraId="153A6F2D" w14:textId="076014D6" w:rsidR="00E93485" w:rsidRDefault="00E93485">
            <w:pPr>
              <w:rPr>
                <w:rFonts w:ascii="Arial" w:hAnsi="Arial" w:cs="Arial"/>
                <w:sz w:val="24"/>
                <w:szCs w:val="24"/>
              </w:rPr>
            </w:pPr>
            <w:r w:rsidRPr="001B38D7">
              <w:rPr>
                <w:rFonts w:ascii="Arial" w:hAnsi="Arial" w:cs="Arial"/>
                <w:sz w:val="24"/>
                <w:szCs w:val="24"/>
              </w:rPr>
              <w:t xml:space="preserve">Court of own </w:t>
            </w:r>
            <w:r w:rsidR="008C6C8E">
              <w:rPr>
                <w:rFonts w:ascii="Arial" w:hAnsi="Arial" w:cs="Arial"/>
                <w:sz w:val="24"/>
                <w:szCs w:val="24"/>
              </w:rPr>
              <w:t>motion</w:t>
            </w:r>
            <w:r w:rsidR="008C6C8E" w:rsidRPr="001B38D7">
              <w:rPr>
                <w:rFonts w:ascii="Arial" w:hAnsi="Arial" w:cs="Arial"/>
                <w:sz w:val="24"/>
                <w:szCs w:val="24"/>
              </w:rPr>
              <w:t xml:space="preserve"> </w:t>
            </w:r>
            <w:r w:rsidRPr="001B38D7">
              <w:rPr>
                <w:rFonts w:ascii="Arial" w:hAnsi="Arial" w:cs="Arial"/>
                <w:sz w:val="24"/>
                <w:szCs w:val="24"/>
              </w:rPr>
              <w:t>in family, civil and criminal proceedings</w:t>
            </w:r>
          </w:p>
          <w:p w14:paraId="534CDAD4" w14:textId="77777777" w:rsidR="00CF251C" w:rsidRPr="001B38D7" w:rsidRDefault="00CF251C">
            <w:pPr>
              <w:rPr>
                <w:rFonts w:ascii="Arial" w:hAnsi="Arial" w:cs="Arial"/>
                <w:sz w:val="24"/>
                <w:szCs w:val="24"/>
              </w:rPr>
            </w:pPr>
          </w:p>
          <w:p w14:paraId="7DC7D800" w14:textId="77777777" w:rsidR="00E93485" w:rsidRPr="001B38D7" w:rsidRDefault="00E93485">
            <w:pPr>
              <w:rPr>
                <w:rFonts w:ascii="Arial" w:hAnsi="Arial" w:cs="Arial"/>
                <w:sz w:val="24"/>
                <w:szCs w:val="24"/>
              </w:rPr>
            </w:pPr>
            <w:r w:rsidRPr="001B38D7">
              <w:rPr>
                <w:rFonts w:ascii="Arial" w:hAnsi="Arial" w:cs="Arial"/>
                <w:sz w:val="24"/>
                <w:szCs w:val="24"/>
              </w:rPr>
              <w:t>On application by person to be protected within ongoing family and civil (county) proceedings</w:t>
            </w:r>
          </w:p>
        </w:tc>
        <w:tc>
          <w:tcPr>
            <w:tcW w:w="1877" w:type="dxa"/>
          </w:tcPr>
          <w:p w14:paraId="76B68337"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52D4C1B3" w14:textId="77777777" w:rsidR="00E93485" w:rsidRPr="001B38D7" w:rsidRDefault="00E93485">
            <w:pPr>
              <w:rPr>
                <w:rFonts w:ascii="Arial" w:hAnsi="Arial" w:cs="Arial"/>
                <w:sz w:val="24"/>
                <w:szCs w:val="24"/>
              </w:rPr>
            </w:pPr>
            <w:r w:rsidRPr="001B38D7">
              <w:rPr>
                <w:rFonts w:ascii="Arial" w:hAnsi="Arial" w:cs="Arial"/>
                <w:sz w:val="24"/>
                <w:szCs w:val="24"/>
              </w:rPr>
              <w:t>Positive requirements</w:t>
            </w:r>
          </w:p>
          <w:p w14:paraId="4717DF72" w14:textId="77777777" w:rsidR="00E93485" w:rsidRPr="001B38D7" w:rsidRDefault="00E93485">
            <w:pPr>
              <w:rPr>
                <w:rFonts w:ascii="Arial" w:hAnsi="Arial" w:cs="Arial"/>
                <w:sz w:val="24"/>
                <w:szCs w:val="24"/>
              </w:rPr>
            </w:pPr>
            <w:r w:rsidRPr="001B38D7">
              <w:rPr>
                <w:rFonts w:ascii="Arial" w:hAnsi="Arial" w:cs="Arial"/>
                <w:sz w:val="24"/>
                <w:szCs w:val="24"/>
              </w:rPr>
              <w:t>Electronic monitoring</w:t>
            </w:r>
          </w:p>
          <w:p w14:paraId="79E3F612" w14:textId="7033676A" w:rsidR="00E93485" w:rsidRPr="001B38D7" w:rsidRDefault="00E93485">
            <w:pPr>
              <w:rPr>
                <w:rFonts w:ascii="Arial" w:hAnsi="Arial" w:cs="Arial"/>
                <w:sz w:val="24"/>
                <w:szCs w:val="24"/>
              </w:rPr>
            </w:pPr>
            <w:r w:rsidRPr="001B38D7">
              <w:rPr>
                <w:rFonts w:ascii="Arial" w:hAnsi="Arial" w:cs="Arial"/>
                <w:sz w:val="24"/>
                <w:szCs w:val="24"/>
              </w:rPr>
              <w:t>Mandatory notification</w:t>
            </w:r>
            <w:r w:rsidR="00D912D0" w:rsidRPr="001B38D7">
              <w:rPr>
                <w:rFonts w:ascii="Arial" w:hAnsi="Arial" w:cs="Arial"/>
                <w:sz w:val="24"/>
                <w:szCs w:val="24"/>
              </w:rPr>
              <w:t xml:space="preserve"> of name and address</w:t>
            </w:r>
          </w:p>
        </w:tc>
        <w:tc>
          <w:tcPr>
            <w:tcW w:w="1559" w:type="dxa"/>
          </w:tcPr>
          <w:p w14:paraId="396412B1"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4F2DD768" w14:textId="6F53ADA2" w:rsidR="00E93485" w:rsidRPr="001B38D7" w:rsidRDefault="00E93485">
            <w:pPr>
              <w:rPr>
                <w:rFonts w:ascii="Arial" w:hAnsi="Arial" w:cs="Arial"/>
                <w:sz w:val="24"/>
                <w:szCs w:val="24"/>
              </w:rPr>
            </w:pPr>
            <w:r w:rsidRPr="001B38D7">
              <w:rPr>
                <w:rFonts w:ascii="Arial" w:hAnsi="Arial" w:cs="Arial"/>
                <w:sz w:val="24"/>
                <w:szCs w:val="24"/>
              </w:rPr>
              <w:t>Criminal</w:t>
            </w:r>
            <w:r w:rsidR="0030787A">
              <w:rPr>
                <w:rFonts w:ascii="Arial" w:hAnsi="Arial" w:cs="Arial"/>
                <w:sz w:val="24"/>
                <w:szCs w:val="24"/>
              </w:rPr>
              <w:t xml:space="preserve"> offence</w:t>
            </w:r>
          </w:p>
        </w:tc>
      </w:tr>
    </w:tbl>
    <w:p w14:paraId="436AE545" w14:textId="77777777" w:rsidR="00D9460B" w:rsidRDefault="00D9460B" w:rsidP="00E879CB">
      <w:pPr>
        <w:jc w:val="both"/>
      </w:pPr>
    </w:p>
    <w:p w14:paraId="60606D77" w14:textId="5E00AA01" w:rsidR="000E7817" w:rsidRPr="00D450AE" w:rsidRDefault="00D156DD" w:rsidP="00E879CB">
      <w:pPr>
        <w:jc w:val="both"/>
        <w:rPr>
          <w:b/>
          <w:bCs/>
        </w:rPr>
      </w:pPr>
      <w:r w:rsidRPr="00D450AE">
        <w:rPr>
          <w:b/>
          <w:bCs/>
        </w:rPr>
        <w:t>Detailed comparison</w:t>
      </w:r>
      <w:r w:rsidR="00074D11" w:rsidRPr="00D450AE">
        <w:rPr>
          <w:b/>
          <w:bCs/>
        </w:rPr>
        <w:t xml:space="preserve"> of DAPOs with Non-Molestation Orders and Occupation orders</w:t>
      </w:r>
    </w:p>
    <w:p w14:paraId="7D7DFB0A" w14:textId="168D46B4" w:rsidR="00040D82" w:rsidRDefault="00040D82" w:rsidP="00E879CB">
      <w:pPr>
        <w:jc w:val="both"/>
      </w:pPr>
      <w:r>
        <w:t>While non-molestation orders are not being repealed for the time being, it is</w:t>
      </w:r>
      <w:r w:rsidR="008214B0">
        <w:t xml:space="preserve"> our intention that there will be </w:t>
      </w:r>
      <w:r w:rsidR="00925C0A">
        <w:t xml:space="preserve">a </w:t>
      </w:r>
      <w:r w:rsidR="008214B0">
        <w:t>gradual switch from these orders to DAPOs</w:t>
      </w:r>
      <w:r w:rsidR="00D450AE">
        <w:t>.</w:t>
      </w:r>
    </w:p>
    <w:p w14:paraId="7C9E0B25" w14:textId="71869480" w:rsidR="00810F7A" w:rsidRDefault="00810F7A" w:rsidP="00E879CB">
      <w:pPr>
        <w:jc w:val="both"/>
      </w:pPr>
      <w:r>
        <w:t xml:space="preserve">There are </w:t>
      </w:r>
      <w:proofErr w:type="gramStart"/>
      <w:r>
        <w:t>a number of</w:t>
      </w:r>
      <w:proofErr w:type="gramEnd"/>
      <w:r>
        <w:t xml:space="preserve"> relatively subtle differences between </w:t>
      </w:r>
      <w:r w:rsidR="00E0044D">
        <w:t>N</w:t>
      </w:r>
      <w:r>
        <w:t>on-</w:t>
      </w:r>
      <w:r w:rsidR="00E0044D">
        <w:t>M</w:t>
      </w:r>
      <w:r>
        <w:t xml:space="preserve">olestation </w:t>
      </w:r>
      <w:r w:rsidR="00E0044D">
        <w:t>O</w:t>
      </w:r>
      <w:r>
        <w:t xml:space="preserve">rders and </w:t>
      </w:r>
      <w:r w:rsidR="00E0044D">
        <w:t>O</w:t>
      </w:r>
      <w:r>
        <w:t xml:space="preserve">ccupation </w:t>
      </w:r>
      <w:r w:rsidR="00E0044D">
        <w:t>O</w:t>
      </w:r>
      <w:r>
        <w:t>rders and DAPOs.</w:t>
      </w:r>
      <w:r w:rsidR="005E2E60">
        <w:t xml:space="preserve"> Some of these are</w:t>
      </w:r>
      <w:r w:rsidR="0035489E">
        <w:t xml:space="preserve"> already set out above, in relation to multiple application routes to</w:t>
      </w:r>
      <w:r w:rsidR="00315F82">
        <w:t xml:space="preserve"> a</w:t>
      </w:r>
      <w:r w:rsidR="0035489E">
        <w:t xml:space="preserve"> DAPO and conditions that can be imposed</w:t>
      </w:r>
      <w:r w:rsidR="0012097A">
        <w:t xml:space="preserve">, </w:t>
      </w:r>
      <w:r w:rsidR="001464A5">
        <w:t>but others are more specific.</w:t>
      </w:r>
    </w:p>
    <w:p w14:paraId="5FD07230" w14:textId="71B40D3D" w:rsidR="006E4B55" w:rsidRPr="00F605B5" w:rsidRDefault="006E4B55" w:rsidP="00E879CB">
      <w:pPr>
        <w:jc w:val="both"/>
        <w:rPr>
          <w:b/>
          <w:bCs/>
        </w:rPr>
      </w:pPr>
      <w:r w:rsidRPr="00F605B5">
        <w:rPr>
          <w:b/>
          <w:bCs/>
        </w:rPr>
        <w:t>Children</w:t>
      </w:r>
    </w:p>
    <w:p w14:paraId="54787783" w14:textId="15738E65" w:rsidR="006E4B55" w:rsidRDefault="006E4B55" w:rsidP="00E879CB">
      <w:pPr>
        <w:jc w:val="both"/>
      </w:pPr>
      <w:r>
        <w:t>The primary difference is about how children</w:t>
      </w:r>
      <w:r w:rsidR="003210CB">
        <w:t xml:space="preserve"> can be protected. </w:t>
      </w:r>
      <w:r w:rsidR="00F605B5">
        <w:t xml:space="preserve">NMOs and OOs allow for children to be directly protected in two ways – children under 16 can bring applications </w:t>
      </w:r>
      <w:proofErr w:type="gramStart"/>
      <w:r w:rsidR="00F605B5">
        <w:t>in their own right</w:t>
      </w:r>
      <w:r w:rsidR="002035EA">
        <w:t xml:space="preserve"> with</w:t>
      </w:r>
      <w:proofErr w:type="gramEnd"/>
      <w:r w:rsidR="002035EA">
        <w:t xml:space="preserve"> leave of the court</w:t>
      </w:r>
      <w:r w:rsidR="00F605B5">
        <w:t>, and adult applicant</w:t>
      </w:r>
      <w:r w:rsidR="00941528">
        <w:t>s</w:t>
      </w:r>
      <w:r w:rsidR="00F605B5">
        <w:t xml:space="preserve"> can include ‘relevant children’ in their application.</w:t>
      </w:r>
    </w:p>
    <w:p w14:paraId="058CC7D4" w14:textId="7CB04D9D" w:rsidR="00C37635" w:rsidRDefault="00C37635" w:rsidP="00E879CB">
      <w:pPr>
        <w:jc w:val="both"/>
      </w:pPr>
      <w:r>
        <w:t xml:space="preserve">DAPOs can only protect a person who is </w:t>
      </w:r>
      <w:r w:rsidR="00BB596B">
        <w:t xml:space="preserve">aged 16 or </w:t>
      </w:r>
      <w:r>
        <w:t>over</w:t>
      </w:r>
      <w:r w:rsidR="00047326">
        <w:t xml:space="preserve">, under </w:t>
      </w:r>
      <w:hyperlink r:id="rId78" w:history="1">
        <w:r w:rsidR="00047326" w:rsidRPr="00046BC8">
          <w:rPr>
            <w:rStyle w:val="Hyperlink"/>
          </w:rPr>
          <w:t>s</w:t>
        </w:r>
        <w:r w:rsidR="00BB596B" w:rsidRPr="00046BC8">
          <w:rPr>
            <w:rStyle w:val="Hyperlink"/>
          </w:rPr>
          <w:t xml:space="preserve">ection </w:t>
        </w:r>
        <w:r w:rsidR="00047326" w:rsidRPr="00046BC8">
          <w:rPr>
            <w:rStyle w:val="Hyperlink"/>
          </w:rPr>
          <w:t>32(2)</w:t>
        </w:r>
      </w:hyperlink>
      <w:r w:rsidR="00047326">
        <w:t xml:space="preserve"> DA Act</w:t>
      </w:r>
      <w:r w:rsidR="00C8621B">
        <w:t xml:space="preserve">. </w:t>
      </w:r>
      <w:r w:rsidR="0077427A">
        <w:t>Anybody under 16 cannot be directly protected by a DAPO, but the court is obliged to take into account the welfare of any child</w:t>
      </w:r>
      <w:r w:rsidR="007156C9">
        <w:t xml:space="preserve"> who</w:t>
      </w:r>
      <w:r w:rsidR="00393197">
        <w:t xml:space="preserve">se interests it considers relevant to </w:t>
      </w:r>
      <w:r w:rsidR="00B34B3D">
        <w:t xml:space="preserve">the </w:t>
      </w:r>
      <w:r w:rsidR="00393197">
        <w:t xml:space="preserve">making of the order, under </w:t>
      </w:r>
      <w:hyperlink r:id="rId79" w:history="1">
        <w:r w:rsidR="00393197" w:rsidRPr="00457D21">
          <w:rPr>
            <w:rStyle w:val="Hyperlink"/>
          </w:rPr>
          <w:t>s</w:t>
        </w:r>
        <w:r w:rsidR="00B652ED" w:rsidRPr="00457D21">
          <w:rPr>
            <w:rStyle w:val="Hyperlink"/>
          </w:rPr>
          <w:t xml:space="preserve">ection </w:t>
        </w:r>
        <w:r w:rsidR="00393197" w:rsidRPr="00457D21">
          <w:rPr>
            <w:rStyle w:val="Hyperlink"/>
          </w:rPr>
          <w:t>33(</w:t>
        </w:r>
        <w:r w:rsidR="0086082C" w:rsidRPr="00457D21">
          <w:rPr>
            <w:rStyle w:val="Hyperlink"/>
          </w:rPr>
          <w:t>1</w:t>
        </w:r>
        <w:r w:rsidR="00393197" w:rsidRPr="00457D21">
          <w:rPr>
            <w:rStyle w:val="Hyperlink"/>
          </w:rPr>
          <w:t>)</w:t>
        </w:r>
        <w:r w:rsidR="0086082C" w:rsidRPr="00457D21">
          <w:rPr>
            <w:rStyle w:val="Hyperlink"/>
          </w:rPr>
          <w:t>(a)</w:t>
        </w:r>
      </w:hyperlink>
      <w:r w:rsidR="00B34B3D">
        <w:t xml:space="preserve">. This </w:t>
      </w:r>
      <w:r w:rsidR="009152D6">
        <w:t>child does not have to be personally connected to the respondent.</w:t>
      </w:r>
      <w:r w:rsidR="000C2F40">
        <w:t xml:space="preserve"> This means that children </w:t>
      </w:r>
      <w:r w:rsidR="001F7CF4">
        <w:t xml:space="preserve">can be protected by a DAPO indirectly, via protection that is granted to the applicant, for example if the perpetrator </w:t>
      </w:r>
      <w:r w:rsidR="001F7CF4">
        <w:lastRenderedPageBreak/>
        <w:t xml:space="preserve">is banned from coming near </w:t>
      </w:r>
      <w:r w:rsidR="007E71CD">
        <w:t xml:space="preserve">the </w:t>
      </w:r>
      <w:r w:rsidR="001F7CF4">
        <w:t>victim’s home and the child lives with the victim</w:t>
      </w:r>
      <w:r w:rsidR="00F55F2F">
        <w:t>, they will benefit from that protection.</w:t>
      </w:r>
    </w:p>
    <w:p w14:paraId="7878A65B" w14:textId="15461A46" w:rsidR="000F72B4" w:rsidRDefault="000F72B4" w:rsidP="00E879CB">
      <w:pPr>
        <w:jc w:val="both"/>
      </w:pPr>
      <w:hyperlink r:id="rId80" w:history="1">
        <w:r w:rsidRPr="00390A63">
          <w:rPr>
            <w:rStyle w:val="Hyperlink"/>
          </w:rPr>
          <w:t>S</w:t>
        </w:r>
        <w:r w:rsidR="00E23A3B" w:rsidRPr="00390A63">
          <w:rPr>
            <w:rStyle w:val="Hyperlink"/>
          </w:rPr>
          <w:t xml:space="preserve">ection </w:t>
        </w:r>
        <w:r w:rsidR="00C1073C" w:rsidRPr="00390A63">
          <w:rPr>
            <w:rStyle w:val="Hyperlink"/>
          </w:rPr>
          <w:t>3</w:t>
        </w:r>
      </w:hyperlink>
      <w:r w:rsidR="00C1073C">
        <w:t xml:space="preserve"> of</w:t>
      </w:r>
      <w:r w:rsidR="00717E58">
        <w:t xml:space="preserve"> the</w:t>
      </w:r>
      <w:r w:rsidR="00C1073C">
        <w:t xml:space="preserve"> DA Act provides that any child who </w:t>
      </w:r>
      <w:r w:rsidR="00B77E63">
        <w:t xml:space="preserve">witnesses domestic abuse is to be treated as a victim of domestic abuse. </w:t>
      </w:r>
      <w:r w:rsidR="007C552E">
        <w:t xml:space="preserve">As </w:t>
      </w:r>
      <w:r w:rsidR="004D6A58">
        <w:t xml:space="preserve">a DAPO can only directly protect a person who is </w:t>
      </w:r>
      <w:r w:rsidR="00575F63">
        <w:t xml:space="preserve">aged 16 or </w:t>
      </w:r>
      <w:r w:rsidR="004D6A58">
        <w:t>over, thi</w:t>
      </w:r>
      <w:r w:rsidR="00BD205A">
        <w:t>s</w:t>
      </w:r>
      <w:r w:rsidR="00B77E63">
        <w:t xml:space="preserve"> means</w:t>
      </w:r>
      <w:r w:rsidR="00820594">
        <w:t xml:space="preserve"> that</w:t>
      </w:r>
      <w:r w:rsidR="00BD205A">
        <w:t xml:space="preserve"> a</w:t>
      </w:r>
      <w:r w:rsidR="00701E33">
        <w:t xml:space="preserve"> child</w:t>
      </w:r>
      <w:r w:rsidR="00BD205A">
        <w:t xml:space="preserve"> </w:t>
      </w:r>
      <w:r w:rsidR="008D231C">
        <w:t xml:space="preserve">aged 16 or </w:t>
      </w:r>
      <w:r w:rsidR="00BD205A">
        <w:t xml:space="preserve">over can apply for a DAPO </w:t>
      </w:r>
      <w:r w:rsidR="00F143B0">
        <w:t>to protect themselves from this kind of abuse</w:t>
      </w:r>
      <w:r w:rsidR="008A23E2">
        <w:t xml:space="preserve">, provided they are related to </w:t>
      </w:r>
      <w:r w:rsidR="00115F5E">
        <w:t>the person being abused or the perpetrator.</w:t>
      </w:r>
    </w:p>
    <w:p w14:paraId="4C051559" w14:textId="7B1DDE0E" w:rsidR="00F55F2F" w:rsidRDefault="00F55F2F" w:rsidP="00E879CB">
      <w:pPr>
        <w:jc w:val="both"/>
      </w:pPr>
      <w:r>
        <w:t>If it is necessary to directly protect a child</w:t>
      </w:r>
      <w:r w:rsidR="00FD6281">
        <w:t xml:space="preserve">, </w:t>
      </w:r>
      <w:r w:rsidR="00633331">
        <w:t>an applicant will have to</w:t>
      </w:r>
      <w:r w:rsidR="00FD6281">
        <w:t xml:space="preserve"> apply for another court order – this may be a contact order</w:t>
      </w:r>
      <w:r w:rsidR="00633331">
        <w:t>/</w:t>
      </w:r>
      <w:r w:rsidR="00FD6281">
        <w:t>residence</w:t>
      </w:r>
      <w:r w:rsidR="00633331">
        <w:t xml:space="preserve">/prohibited </w:t>
      </w:r>
      <w:r w:rsidR="00CC6845">
        <w:t>steps</w:t>
      </w:r>
      <w:r w:rsidR="00FD6281">
        <w:t xml:space="preserve"> order under s</w:t>
      </w:r>
      <w:r w:rsidR="007F09DC">
        <w:t xml:space="preserve">ection </w:t>
      </w:r>
      <w:r w:rsidR="00FD6281">
        <w:t>8 of the Children Act 1989</w:t>
      </w:r>
      <w:r w:rsidR="000153EF">
        <w:t xml:space="preserve">, or in some cases it may still be </w:t>
      </w:r>
      <w:r w:rsidR="008B7981">
        <w:t>more appropriate to obtain a</w:t>
      </w:r>
      <w:r w:rsidR="000153EF">
        <w:t xml:space="preserve"> non</w:t>
      </w:r>
      <w:r w:rsidR="002926DF">
        <w:t>-</w:t>
      </w:r>
      <w:r w:rsidR="00CC6845">
        <w:t>molestation order.</w:t>
      </w:r>
    </w:p>
    <w:p w14:paraId="64D35750" w14:textId="1C98EF1C" w:rsidR="00031A41" w:rsidRDefault="002926DF" w:rsidP="004F105D">
      <w:pPr>
        <w:jc w:val="both"/>
      </w:pPr>
      <w:r>
        <w:t xml:space="preserve">However, </w:t>
      </w:r>
      <w:hyperlink r:id="rId81" w:history="1">
        <w:r>
          <w:rPr>
            <w:rStyle w:val="Hyperlink"/>
          </w:rPr>
          <w:t>section 52</w:t>
        </w:r>
      </w:hyperlink>
      <w:r w:rsidR="004F105D">
        <w:t xml:space="preserve"> </w:t>
      </w:r>
      <w:r w:rsidR="0077055A">
        <w:t xml:space="preserve">of </w:t>
      </w:r>
      <w:r w:rsidR="00717E58">
        <w:t xml:space="preserve">the </w:t>
      </w:r>
      <w:r w:rsidR="0077055A">
        <w:t xml:space="preserve">DA Act </w:t>
      </w:r>
      <w:r w:rsidR="004F105D">
        <w:t>makes provision for the court to protect children</w:t>
      </w:r>
      <w:r w:rsidR="006E2DED">
        <w:t xml:space="preserve"> as well as adult victims at the same</w:t>
      </w:r>
      <w:r>
        <w:t xml:space="preserve"> time</w:t>
      </w:r>
      <w:r w:rsidR="006E2DED">
        <w:t xml:space="preserve"> in certain proceedings. </w:t>
      </w:r>
      <w:r w:rsidR="00B9670D" w:rsidRPr="005F3070">
        <w:rPr>
          <w:b/>
          <w:bCs/>
        </w:rPr>
        <w:t>Subsection</w:t>
      </w:r>
      <w:r w:rsidR="00021F27" w:rsidRPr="005F3070">
        <w:rPr>
          <w:b/>
          <w:bCs/>
        </w:rPr>
        <w:t xml:space="preserve"> (1)</w:t>
      </w:r>
      <w:r w:rsidR="004F105D">
        <w:t xml:space="preserve"> inserts a reference to Part 3 of the</w:t>
      </w:r>
      <w:r w:rsidR="003B249A">
        <w:t xml:space="preserve"> DA</w:t>
      </w:r>
      <w:r w:rsidR="004F105D">
        <w:t xml:space="preserve"> Act into section 8(4) of the Children Act 1989. By doing so, the </w:t>
      </w:r>
      <w:r w:rsidR="003B249A">
        <w:t xml:space="preserve">DA </w:t>
      </w:r>
      <w:r w:rsidR="004F105D">
        <w:t>Act amends the Children Act 1989 to provide that proceedings under Part 3 of the</w:t>
      </w:r>
      <w:r w:rsidR="003B249A">
        <w:t xml:space="preserve"> DA Act</w:t>
      </w:r>
      <w:r w:rsidR="004F105D">
        <w:t xml:space="preserve"> are "family proceedings" for the purposes of the Children Act 1989. The effect of this amendment is to enable a judge (sitting in the family court or Family Division of the High Court) hearing an application to make or vary a DAPO to make an interim care order, or exercise other powers available to the court under the Children Act 1989, in the same set of proceedings. This enhances the court’s ability to protect children who are exposed to domestic abuse at the point of dealing with such abuse, and without requiring the issue of separate applications and fresh proceedings (as would otherwise be the case). </w:t>
      </w:r>
      <w:r w:rsidR="004F105D" w:rsidRPr="0061779D">
        <w:rPr>
          <w:b/>
          <w:bCs/>
        </w:rPr>
        <w:t>Subsection (2)</w:t>
      </w:r>
      <w:r w:rsidR="004F105D">
        <w:t xml:space="preserve"> inserts a reference to Part 3 of the </w:t>
      </w:r>
      <w:r w:rsidR="00E028F4">
        <w:t xml:space="preserve">DA </w:t>
      </w:r>
      <w:r w:rsidR="004F105D">
        <w:t xml:space="preserve">Act into section 63(2) of the Family Law Act 1996. By doing so, the </w:t>
      </w:r>
      <w:r w:rsidR="00E028F4">
        <w:t xml:space="preserve">DA </w:t>
      </w:r>
      <w:r w:rsidR="004F105D">
        <w:t>Act amends the definition of "family proceedings" for the purposes of Part 4 of the Family Law Act 1996 to include within the definition proceedings under Part 3 of the D</w:t>
      </w:r>
      <w:r w:rsidR="00FB5B46">
        <w:t>A Act</w:t>
      </w:r>
      <w:r w:rsidR="004F105D">
        <w:t>. The effect of this amendment is to enable a judge (sitting in the family court or Family Division of the High Court) hearing an application to make or vary a DAPO to make an occupation or non-molestation order, or a forced marriage protection order in the same set of proceedings.</w:t>
      </w:r>
    </w:p>
    <w:p w14:paraId="76DD955F" w14:textId="480852A5" w:rsidR="00454E03" w:rsidRDefault="001D1C00" w:rsidP="00E879CB">
      <w:pPr>
        <w:jc w:val="both"/>
        <w:rPr>
          <w:b/>
          <w:bCs/>
        </w:rPr>
      </w:pPr>
      <w:r>
        <w:t xml:space="preserve">Finally, under </w:t>
      </w:r>
      <w:hyperlink r:id="rId82" w:history="1">
        <w:r>
          <w:rPr>
            <w:rStyle w:val="Hyperlink"/>
          </w:rPr>
          <w:t>section 31(2)</w:t>
        </w:r>
      </w:hyperlink>
      <w:r>
        <w:t xml:space="preserve"> of the D</w:t>
      </w:r>
      <w:r w:rsidR="007D09CE">
        <w:t>A</w:t>
      </w:r>
      <w:r>
        <w:t xml:space="preserve"> Act, t</w:t>
      </w:r>
      <w:r>
        <w:rPr>
          <w:color w:val="1E1E1E"/>
          <w:shd w:val="clear" w:color="auto" w:fill="FFFFFF"/>
        </w:rPr>
        <w:t xml:space="preserve">he </w:t>
      </w:r>
      <w:r w:rsidR="00EE5FAB">
        <w:rPr>
          <w:color w:val="1E1E1E"/>
          <w:shd w:val="clear" w:color="auto" w:fill="FFFFFF"/>
        </w:rPr>
        <w:t xml:space="preserve">Family Division of the </w:t>
      </w:r>
      <w:r>
        <w:rPr>
          <w:color w:val="1E1E1E"/>
          <w:shd w:val="clear" w:color="auto" w:fill="FFFFFF"/>
        </w:rPr>
        <w:t xml:space="preserve">High Court or the family court </w:t>
      </w:r>
      <w:r w:rsidR="00A05DAD">
        <w:rPr>
          <w:color w:val="1E1E1E"/>
          <w:shd w:val="clear" w:color="auto" w:fill="FFFFFF"/>
        </w:rPr>
        <w:t xml:space="preserve">of their own </w:t>
      </w:r>
      <w:r w:rsidR="00EF019E">
        <w:rPr>
          <w:color w:val="1E1E1E"/>
          <w:shd w:val="clear" w:color="auto" w:fill="FFFFFF"/>
        </w:rPr>
        <w:t xml:space="preserve">initiative </w:t>
      </w:r>
      <w:r>
        <w:rPr>
          <w:color w:val="1E1E1E"/>
          <w:shd w:val="clear" w:color="auto" w:fill="FFFFFF"/>
        </w:rPr>
        <w:t xml:space="preserve">may make a domestic abuse protection order in any family proceedings to which both the perpetrator and the person for whose protection the order would be made are parties. This enables a family court to make a DAPO during ongoing proceedings (for example </w:t>
      </w:r>
      <w:proofErr w:type="gramStart"/>
      <w:r>
        <w:rPr>
          <w:color w:val="1E1E1E"/>
          <w:shd w:val="clear" w:color="auto" w:fill="FFFFFF"/>
        </w:rPr>
        <w:t>children</w:t>
      </w:r>
      <w:proofErr w:type="gramEnd"/>
      <w:r>
        <w:rPr>
          <w:color w:val="1E1E1E"/>
          <w:shd w:val="clear" w:color="auto" w:fill="FFFFFF"/>
        </w:rPr>
        <w:t xml:space="preserve"> proceedings) where, </w:t>
      </w:r>
      <w:proofErr w:type="gramStart"/>
      <w:r>
        <w:rPr>
          <w:color w:val="1E1E1E"/>
          <w:shd w:val="clear" w:color="auto" w:fill="FFFFFF"/>
        </w:rPr>
        <w:t>in the course of</w:t>
      </w:r>
      <w:proofErr w:type="gramEnd"/>
      <w:r>
        <w:rPr>
          <w:color w:val="1E1E1E"/>
          <w:shd w:val="clear" w:color="auto" w:fill="FFFFFF"/>
        </w:rPr>
        <w:t xml:space="preserve"> such proceedings, the court becomes aware of the need to protect a person from domestic abuse. Under </w:t>
      </w:r>
      <w:hyperlink r:id="rId83" w:history="1">
        <w:r>
          <w:rPr>
            <w:rStyle w:val="Hyperlink"/>
            <w:shd w:val="clear" w:color="auto" w:fill="FFFFFF"/>
          </w:rPr>
          <w:t>section 28(7)</w:t>
        </w:r>
      </w:hyperlink>
      <w:r>
        <w:rPr>
          <w:color w:val="1E1E1E"/>
          <w:shd w:val="clear" w:color="auto" w:fill="FFFFFF"/>
        </w:rPr>
        <w:t xml:space="preserve"> of the D</w:t>
      </w:r>
      <w:r w:rsidR="007462DD">
        <w:rPr>
          <w:color w:val="1E1E1E"/>
          <w:shd w:val="clear" w:color="auto" w:fill="FFFFFF"/>
        </w:rPr>
        <w:t>A</w:t>
      </w:r>
      <w:r>
        <w:rPr>
          <w:color w:val="1E1E1E"/>
          <w:shd w:val="clear" w:color="auto" w:fill="FFFFFF"/>
        </w:rPr>
        <w:t xml:space="preserve"> Act, a victim can also apply for a DAPO within any such ongoing family proceedings.</w:t>
      </w:r>
    </w:p>
    <w:p w14:paraId="693A96D0" w14:textId="154E45EF" w:rsidR="00560234" w:rsidRPr="00F20243" w:rsidRDefault="00E008AC" w:rsidP="00E879CB">
      <w:pPr>
        <w:jc w:val="both"/>
        <w:rPr>
          <w:b/>
          <w:bCs/>
        </w:rPr>
      </w:pPr>
      <w:r w:rsidRPr="00F20243">
        <w:rPr>
          <w:b/>
          <w:bCs/>
        </w:rPr>
        <w:t>Definition of domestic abuse</w:t>
      </w:r>
    </w:p>
    <w:p w14:paraId="7283277E" w14:textId="35F71EAE" w:rsidR="00E008AC" w:rsidRDefault="00E008AC" w:rsidP="00E879CB">
      <w:pPr>
        <w:jc w:val="both"/>
      </w:pPr>
      <w:r>
        <w:t xml:space="preserve">In comparison to </w:t>
      </w:r>
      <w:r w:rsidR="001113D8">
        <w:t xml:space="preserve">DVPOs and </w:t>
      </w:r>
      <w:r>
        <w:t>NMOs/OOs, DAPO relies on a much wider definition of domestic abuse, which includes all forms of abuse, as set out under s</w:t>
      </w:r>
      <w:r w:rsidR="00BD4F54">
        <w:t xml:space="preserve">ection </w:t>
      </w:r>
      <w:r w:rsidR="00F20243">
        <w:t>1 of the DA Act.</w:t>
      </w:r>
    </w:p>
    <w:p w14:paraId="69D7BC07" w14:textId="399D7CD6" w:rsidR="006F17C2" w:rsidRPr="00303FB4" w:rsidRDefault="006F17C2" w:rsidP="00E879CB">
      <w:pPr>
        <w:jc w:val="both"/>
        <w:rPr>
          <w:b/>
          <w:bCs/>
        </w:rPr>
      </w:pPr>
      <w:r w:rsidRPr="00303FB4">
        <w:rPr>
          <w:b/>
          <w:bCs/>
        </w:rPr>
        <w:lastRenderedPageBreak/>
        <w:t>Definition of ‘personally connected’ compared to ‘associated person’</w:t>
      </w:r>
    </w:p>
    <w:p w14:paraId="2AB4D961" w14:textId="3246A162" w:rsidR="00647224" w:rsidRDefault="00647224" w:rsidP="00E879CB">
      <w:pPr>
        <w:jc w:val="both"/>
      </w:pPr>
      <w:r>
        <w:t>Section 2</w:t>
      </w:r>
      <w:r w:rsidR="00456FA9">
        <w:t xml:space="preserve"> of the DA Act definition of ‘personally connected’ is very similar to the F</w:t>
      </w:r>
      <w:r w:rsidR="000A71DD">
        <w:t>amily Law Act 19</w:t>
      </w:r>
      <w:r w:rsidR="00456FA9">
        <w:t>96 definition of ‘</w:t>
      </w:r>
      <w:r w:rsidR="007901D3">
        <w:t>associated person</w:t>
      </w:r>
      <w:r w:rsidR="00303FB4">
        <w:t>’</w:t>
      </w:r>
      <w:r w:rsidR="007901D3">
        <w:t xml:space="preserve">. The main difference is that it is no longer necessary to prove there has been a relationship of ‘significant duration’ nor </w:t>
      </w:r>
      <w:r w:rsidR="00837319">
        <w:t xml:space="preserve">is </w:t>
      </w:r>
      <w:r w:rsidR="007901D3">
        <w:t>there a requirement that the parties have ever lived together</w:t>
      </w:r>
      <w:r w:rsidR="00067086">
        <w:t xml:space="preserve">, provided that the relationship </w:t>
      </w:r>
      <w:r w:rsidR="00B31710">
        <w:t xml:space="preserve">has been ‘an intimate personal relationship’. </w:t>
      </w:r>
      <w:r w:rsidR="00BD2544">
        <w:t>Unrelated borders or lodgers are not part of the DA Act’s definition either.</w:t>
      </w:r>
    </w:p>
    <w:p w14:paraId="3DDD3AAC" w14:textId="30501221" w:rsidR="001F7143" w:rsidRPr="00B22E36" w:rsidRDefault="001F7143" w:rsidP="00E879CB">
      <w:pPr>
        <w:jc w:val="both"/>
        <w:rPr>
          <w:b/>
          <w:bCs/>
        </w:rPr>
      </w:pPr>
      <w:r w:rsidRPr="00B22E36">
        <w:rPr>
          <w:b/>
          <w:bCs/>
        </w:rPr>
        <w:t>DAPOs and Occupation Orders</w:t>
      </w:r>
    </w:p>
    <w:p w14:paraId="0BC5BC08" w14:textId="74080BC4" w:rsidR="001F7143" w:rsidRDefault="00972DCF" w:rsidP="00E879CB">
      <w:pPr>
        <w:jc w:val="both"/>
      </w:pPr>
      <w:r>
        <w:t xml:space="preserve">Any restriction or prohibition can be imposed by a DAPO, </w:t>
      </w:r>
      <w:proofErr w:type="gramStart"/>
      <w:r>
        <w:t>provided that</w:t>
      </w:r>
      <w:proofErr w:type="gramEnd"/>
      <w:r>
        <w:t xml:space="preserve"> it is necessary to protect the victim f</w:t>
      </w:r>
      <w:r w:rsidR="00D45B53">
        <w:t>r</w:t>
      </w:r>
      <w:r>
        <w:t xml:space="preserve">om abuse. This includes </w:t>
      </w:r>
      <w:r w:rsidR="003E67FA">
        <w:t>excluding a perpetrator from a property or ordering that a victim should be able to return to the home</w:t>
      </w:r>
      <w:r w:rsidR="0056407E">
        <w:t xml:space="preserve">. There is no express provision in the </w:t>
      </w:r>
      <w:r w:rsidR="00DE5A68">
        <w:t xml:space="preserve">DA </w:t>
      </w:r>
      <w:r w:rsidR="0056407E">
        <w:t>Act for payment of rent / mortgage and keeping the home in good state of repair, but these conditions are not excluded from a DAPO. In that sense,</w:t>
      </w:r>
      <w:r w:rsidR="009B100F">
        <w:t xml:space="preserve"> a DAPO </w:t>
      </w:r>
      <w:proofErr w:type="gramStart"/>
      <w:r w:rsidR="009B100F">
        <w:t>is capable of covering</w:t>
      </w:r>
      <w:proofErr w:type="gramEnd"/>
      <w:r w:rsidR="009B100F">
        <w:t xml:space="preserve"> most of what would have been ordered via an Occupation Order.</w:t>
      </w:r>
    </w:p>
    <w:p w14:paraId="36190A1D" w14:textId="4E27D677" w:rsidR="00342688" w:rsidRPr="00B45585" w:rsidRDefault="00342688" w:rsidP="00E879CB">
      <w:pPr>
        <w:jc w:val="both"/>
        <w:rPr>
          <w:b/>
          <w:bCs/>
        </w:rPr>
      </w:pPr>
      <w:r w:rsidRPr="00B45585">
        <w:rPr>
          <w:b/>
          <w:bCs/>
        </w:rPr>
        <w:t>Use of undertakings</w:t>
      </w:r>
    </w:p>
    <w:p w14:paraId="7005008F" w14:textId="06796B4F" w:rsidR="006F46AA" w:rsidRDefault="00342688" w:rsidP="00E879CB">
      <w:pPr>
        <w:jc w:val="both"/>
      </w:pPr>
      <w:r>
        <w:t xml:space="preserve">Unlike </w:t>
      </w:r>
      <w:r w:rsidR="00C10E44">
        <w:t>the F</w:t>
      </w:r>
      <w:r w:rsidR="00953E38">
        <w:t>amily Law Act 19</w:t>
      </w:r>
      <w:r w:rsidR="00C10E44">
        <w:t xml:space="preserve">96, </w:t>
      </w:r>
      <w:r w:rsidR="00DF64D1">
        <w:t xml:space="preserve">the </w:t>
      </w:r>
      <w:r w:rsidR="00C10E44">
        <w:t>DA Act does not make any reference to the use of undertakings.</w:t>
      </w:r>
      <w:r w:rsidR="00D769B4">
        <w:t xml:space="preserve"> It will be open to the judges to decide </w:t>
      </w:r>
      <w:r w:rsidR="00B45585">
        <w:t>how</w:t>
      </w:r>
      <w:r w:rsidR="00D769B4">
        <w:t xml:space="preserve"> to interpret the </w:t>
      </w:r>
      <w:r w:rsidR="000851D3">
        <w:t xml:space="preserve">DA </w:t>
      </w:r>
      <w:r w:rsidR="00D769B4">
        <w:t>Act on this point</w:t>
      </w:r>
      <w:r w:rsidR="006B7D64">
        <w:t xml:space="preserve">. </w:t>
      </w:r>
      <w:r w:rsidR="006C4555">
        <w:t xml:space="preserve">However, </w:t>
      </w:r>
      <w:r w:rsidR="007C1D7D">
        <w:t>Family Procedure Rule Committee (</w:t>
      </w:r>
      <w:r w:rsidR="00131CA1">
        <w:t>FPRC</w:t>
      </w:r>
      <w:r w:rsidR="007C1D7D">
        <w:t>)</w:t>
      </w:r>
      <w:r w:rsidR="00131CA1">
        <w:t xml:space="preserve"> representatives who</w:t>
      </w:r>
      <w:r w:rsidR="00553C30">
        <w:t xml:space="preserve"> advised on the development of DAPO court procedure</w:t>
      </w:r>
      <w:r w:rsidR="00D0641E">
        <w:t>s</w:t>
      </w:r>
      <w:r w:rsidR="00553C30">
        <w:t xml:space="preserve"> have indicated that the</w:t>
      </w:r>
      <w:r w:rsidR="008230D5">
        <w:t>y would not expect undertakings to be accepted in place of any conditions that</w:t>
      </w:r>
      <w:r w:rsidR="002961D4">
        <w:t xml:space="preserve"> the court intends to include in the order</w:t>
      </w:r>
      <w:r w:rsidR="008230D5">
        <w:t>, but that it may be open to a judge to accept an undertaking</w:t>
      </w:r>
      <w:r w:rsidR="002C28C0">
        <w:t xml:space="preserve"> </w:t>
      </w:r>
      <w:r w:rsidR="008A4CC1">
        <w:t>on</w:t>
      </w:r>
      <w:r w:rsidR="002C28C0">
        <w:t xml:space="preserve"> an ancillary matter.</w:t>
      </w:r>
    </w:p>
    <w:p w14:paraId="393C28AD" w14:textId="517A8064" w:rsidR="00010208" w:rsidRPr="00010208" w:rsidRDefault="00570D7E" w:rsidP="00010208">
      <w:pPr>
        <w:pStyle w:val="Heading2"/>
        <w:rPr>
          <w:rFonts w:ascii="Arial" w:hAnsi="Arial" w:cs="Arial"/>
          <w:color w:val="7030A0"/>
          <w:sz w:val="28"/>
          <w:szCs w:val="28"/>
        </w:rPr>
      </w:pPr>
      <w:bookmarkStart w:id="62" w:name="_Toc181202779"/>
      <w:r w:rsidRPr="00454E03">
        <w:rPr>
          <w:rFonts w:ascii="Arial" w:hAnsi="Arial" w:cs="Arial"/>
          <w:color w:val="7030A0"/>
          <w:sz w:val="28"/>
          <w:szCs w:val="28"/>
        </w:rPr>
        <w:t>Summary table of NMO</w:t>
      </w:r>
      <w:r w:rsidR="000513B8" w:rsidRPr="00454E03">
        <w:rPr>
          <w:rFonts w:ascii="Arial" w:hAnsi="Arial" w:cs="Arial"/>
          <w:color w:val="7030A0"/>
          <w:sz w:val="28"/>
          <w:szCs w:val="28"/>
        </w:rPr>
        <w:t>/OO V</w:t>
      </w:r>
      <w:r w:rsidR="00A40B18" w:rsidRPr="00454E03">
        <w:rPr>
          <w:rFonts w:ascii="Arial" w:hAnsi="Arial" w:cs="Arial"/>
          <w:color w:val="7030A0"/>
          <w:sz w:val="28"/>
          <w:szCs w:val="28"/>
        </w:rPr>
        <w:t>s</w:t>
      </w:r>
      <w:r w:rsidR="000513B8" w:rsidRPr="00454E03">
        <w:rPr>
          <w:rFonts w:ascii="Arial" w:hAnsi="Arial" w:cs="Arial"/>
          <w:color w:val="7030A0"/>
          <w:sz w:val="28"/>
          <w:szCs w:val="28"/>
        </w:rPr>
        <w:t xml:space="preserve"> DAPO comparison</w:t>
      </w:r>
      <w:bookmarkEnd w:id="62"/>
    </w:p>
    <w:tbl>
      <w:tblPr>
        <w:tblStyle w:val="TableGrid"/>
        <w:tblW w:w="10065" w:type="dxa"/>
        <w:tblInd w:w="-147" w:type="dxa"/>
        <w:tblLook w:val="04A0" w:firstRow="1" w:lastRow="0" w:firstColumn="1" w:lastColumn="0" w:noHBand="0" w:noVBand="1"/>
      </w:tblPr>
      <w:tblGrid>
        <w:gridCol w:w="2281"/>
        <w:gridCol w:w="2964"/>
        <w:gridCol w:w="4820"/>
      </w:tblGrid>
      <w:tr w:rsidR="00F9095C" w:rsidRPr="0013541D" w14:paraId="34D1CDF2" w14:textId="77777777" w:rsidTr="00010208">
        <w:tc>
          <w:tcPr>
            <w:tcW w:w="2281" w:type="dxa"/>
            <w:tcBorders>
              <w:bottom w:val="single" w:sz="4" w:space="0" w:color="auto"/>
            </w:tcBorders>
            <w:shd w:val="clear" w:color="auto" w:fill="7030A0"/>
          </w:tcPr>
          <w:p w14:paraId="339E8B7D" w14:textId="77777777" w:rsidR="00F9095C" w:rsidRPr="0013541D" w:rsidRDefault="00F9095C">
            <w:pPr>
              <w:rPr>
                <w:rFonts w:ascii="Arial" w:hAnsi="Arial" w:cs="Arial"/>
                <w:b/>
                <w:bCs/>
                <w:color w:val="FFFFFF" w:themeColor="background1"/>
                <w:sz w:val="24"/>
                <w:szCs w:val="24"/>
              </w:rPr>
            </w:pPr>
          </w:p>
        </w:tc>
        <w:tc>
          <w:tcPr>
            <w:tcW w:w="2964" w:type="dxa"/>
            <w:shd w:val="clear" w:color="auto" w:fill="7030A0"/>
          </w:tcPr>
          <w:p w14:paraId="645A033D" w14:textId="77777777" w:rsidR="00F9095C" w:rsidRPr="0013541D" w:rsidRDefault="00F9095C">
            <w:pPr>
              <w:rPr>
                <w:rFonts w:ascii="Arial" w:hAnsi="Arial" w:cs="Arial"/>
                <w:b/>
                <w:bCs/>
                <w:color w:val="FFFFFF" w:themeColor="background1"/>
                <w:sz w:val="24"/>
                <w:szCs w:val="24"/>
              </w:rPr>
            </w:pPr>
            <w:r w:rsidRPr="0013541D">
              <w:rPr>
                <w:rFonts w:ascii="Arial" w:hAnsi="Arial" w:cs="Arial"/>
                <w:b/>
                <w:bCs/>
                <w:color w:val="FFFFFF" w:themeColor="background1"/>
                <w:sz w:val="24"/>
                <w:szCs w:val="24"/>
              </w:rPr>
              <w:t>NMOs / OOs</w:t>
            </w:r>
          </w:p>
        </w:tc>
        <w:tc>
          <w:tcPr>
            <w:tcW w:w="4820" w:type="dxa"/>
            <w:shd w:val="clear" w:color="auto" w:fill="7030A0"/>
          </w:tcPr>
          <w:p w14:paraId="6C3B2A47" w14:textId="77777777" w:rsidR="00F9095C" w:rsidRPr="0013541D" w:rsidRDefault="00F9095C">
            <w:pPr>
              <w:rPr>
                <w:rFonts w:ascii="Arial" w:hAnsi="Arial" w:cs="Arial"/>
                <w:b/>
                <w:bCs/>
                <w:color w:val="FFFFFF" w:themeColor="background1"/>
                <w:sz w:val="24"/>
                <w:szCs w:val="24"/>
              </w:rPr>
            </w:pPr>
            <w:r w:rsidRPr="0013541D">
              <w:rPr>
                <w:rFonts w:ascii="Arial" w:hAnsi="Arial" w:cs="Arial"/>
                <w:b/>
                <w:bCs/>
                <w:color w:val="FFFFFF" w:themeColor="background1"/>
                <w:sz w:val="24"/>
                <w:szCs w:val="24"/>
              </w:rPr>
              <w:t>DAPOs</w:t>
            </w:r>
          </w:p>
        </w:tc>
      </w:tr>
      <w:tr w:rsidR="00F9095C" w:rsidRPr="0013541D" w14:paraId="118AFF95" w14:textId="77777777" w:rsidTr="00010208">
        <w:tc>
          <w:tcPr>
            <w:tcW w:w="2281" w:type="dxa"/>
            <w:shd w:val="clear" w:color="auto" w:fill="FFF2CC" w:themeFill="accent4" w:themeFillTint="33"/>
          </w:tcPr>
          <w:p w14:paraId="6FD682F8" w14:textId="77777777" w:rsidR="00F9095C" w:rsidRPr="00633E6B" w:rsidRDefault="00F9095C">
            <w:pPr>
              <w:rPr>
                <w:rFonts w:ascii="Arial" w:hAnsi="Arial" w:cs="Arial"/>
                <w:b/>
                <w:bCs/>
                <w:sz w:val="24"/>
                <w:szCs w:val="24"/>
              </w:rPr>
            </w:pPr>
            <w:r w:rsidRPr="00633E6B">
              <w:rPr>
                <w:rFonts w:ascii="Arial" w:hAnsi="Arial" w:cs="Arial"/>
                <w:b/>
                <w:bCs/>
                <w:sz w:val="24"/>
                <w:szCs w:val="24"/>
              </w:rPr>
              <w:t>Definition of abuse</w:t>
            </w:r>
          </w:p>
        </w:tc>
        <w:tc>
          <w:tcPr>
            <w:tcW w:w="2964" w:type="dxa"/>
          </w:tcPr>
          <w:p w14:paraId="136B5DEE" w14:textId="6A76AD31" w:rsidR="00F9095C" w:rsidRPr="0013541D" w:rsidRDefault="00F9095C">
            <w:pPr>
              <w:rPr>
                <w:rFonts w:ascii="Arial" w:hAnsi="Arial" w:cs="Arial"/>
                <w:sz w:val="24"/>
                <w:szCs w:val="24"/>
              </w:rPr>
            </w:pPr>
            <w:r w:rsidRPr="0013541D">
              <w:rPr>
                <w:rFonts w:ascii="Arial" w:hAnsi="Arial" w:cs="Arial"/>
                <w:sz w:val="24"/>
                <w:szCs w:val="24"/>
              </w:rPr>
              <w:t>Interpretations of ‘molestation</w:t>
            </w:r>
            <w:r w:rsidR="008F23A0">
              <w:rPr>
                <w:rFonts w:ascii="Arial" w:hAnsi="Arial" w:cs="Arial"/>
                <w:sz w:val="24"/>
                <w:szCs w:val="24"/>
              </w:rPr>
              <w:t>’</w:t>
            </w:r>
            <w:r w:rsidRPr="0013541D">
              <w:rPr>
                <w:rFonts w:ascii="Arial" w:hAnsi="Arial" w:cs="Arial"/>
                <w:sz w:val="24"/>
                <w:szCs w:val="24"/>
              </w:rPr>
              <w:t xml:space="preserve"> </w:t>
            </w:r>
          </w:p>
        </w:tc>
        <w:tc>
          <w:tcPr>
            <w:tcW w:w="4820" w:type="dxa"/>
          </w:tcPr>
          <w:p w14:paraId="18FF346D" w14:textId="15CC494A" w:rsidR="00F9095C" w:rsidRPr="0013541D" w:rsidRDefault="00B17531">
            <w:pPr>
              <w:rPr>
                <w:rFonts w:ascii="Arial" w:hAnsi="Arial" w:cs="Arial"/>
                <w:sz w:val="24"/>
                <w:szCs w:val="24"/>
              </w:rPr>
            </w:pPr>
            <w:r w:rsidRPr="0013541D">
              <w:rPr>
                <w:rFonts w:ascii="Arial" w:hAnsi="Arial" w:cs="Arial"/>
                <w:sz w:val="24"/>
                <w:szCs w:val="24"/>
              </w:rPr>
              <w:t>S</w:t>
            </w:r>
            <w:r>
              <w:rPr>
                <w:rFonts w:ascii="Arial" w:hAnsi="Arial" w:cs="Arial"/>
                <w:sz w:val="24"/>
                <w:szCs w:val="24"/>
              </w:rPr>
              <w:t xml:space="preserve">ection </w:t>
            </w:r>
            <w:r w:rsidR="00F9095C" w:rsidRPr="0013541D">
              <w:rPr>
                <w:rFonts w:ascii="Arial" w:hAnsi="Arial" w:cs="Arial"/>
                <w:sz w:val="24"/>
                <w:szCs w:val="24"/>
              </w:rPr>
              <w:t>1 DA Act wide definition of abuse, covering all forms of abuse, beyond physical abuse, to emotional, psychological and coercive and controlling behaviour</w:t>
            </w:r>
          </w:p>
        </w:tc>
      </w:tr>
      <w:tr w:rsidR="00F9095C" w:rsidRPr="0013541D" w14:paraId="71A7F17C" w14:textId="77777777" w:rsidTr="00010208">
        <w:tc>
          <w:tcPr>
            <w:tcW w:w="2281" w:type="dxa"/>
            <w:shd w:val="clear" w:color="auto" w:fill="FFF2CC" w:themeFill="accent4" w:themeFillTint="33"/>
          </w:tcPr>
          <w:p w14:paraId="1C7BC3A2" w14:textId="77777777" w:rsidR="00F9095C" w:rsidRPr="00633E6B" w:rsidRDefault="00F9095C">
            <w:pPr>
              <w:rPr>
                <w:rFonts w:ascii="Arial" w:hAnsi="Arial" w:cs="Arial"/>
                <w:b/>
                <w:bCs/>
                <w:sz w:val="24"/>
                <w:szCs w:val="24"/>
              </w:rPr>
            </w:pPr>
            <w:r w:rsidRPr="00633E6B">
              <w:rPr>
                <w:rFonts w:ascii="Arial" w:hAnsi="Arial" w:cs="Arial"/>
                <w:b/>
                <w:bCs/>
                <w:sz w:val="24"/>
                <w:szCs w:val="24"/>
              </w:rPr>
              <w:t>Who can apply</w:t>
            </w:r>
          </w:p>
        </w:tc>
        <w:tc>
          <w:tcPr>
            <w:tcW w:w="2964" w:type="dxa"/>
          </w:tcPr>
          <w:p w14:paraId="530CE2C9" w14:textId="77777777" w:rsidR="00F9095C" w:rsidRPr="0013541D" w:rsidRDefault="00F9095C">
            <w:pPr>
              <w:rPr>
                <w:rFonts w:ascii="Arial" w:hAnsi="Arial" w:cs="Arial"/>
                <w:sz w:val="24"/>
                <w:szCs w:val="24"/>
              </w:rPr>
            </w:pPr>
            <w:r w:rsidRPr="0013541D">
              <w:rPr>
                <w:rFonts w:ascii="Arial" w:hAnsi="Arial" w:cs="Arial"/>
                <w:sz w:val="24"/>
                <w:szCs w:val="24"/>
              </w:rPr>
              <w:t>Victim of any age (above 16 and below 16)</w:t>
            </w:r>
          </w:p>
        </w:tc>
        <w:tc>
          <w:tcPr>
            <w:tcW w:w="4820" w:type="dxa"/>
          </w:tcPr>
          <w:p w14:paraId="3065170E" w14:textId="650617C3" w:rsidR="00F9095C" w:rsidRPr="0013541D" w:rsidRDefault="00F9095C">
            <w:pPr>
              <w:rPr>
                <w:rFonts w:ascii="Arial" w:hAnsi="Arial" w:cs="Arial"/>
                <w:sz w:val="24"/>
                <w:szCs w:val="24"/>
              </w:rPr>
            </w:pPr>
            <w:r w:rsidRPr="0013541D">
              <w:rPr>
                <w:rFonts w:ascii="Arial" w:hAnsi="Arial" w:cs="Arial"/>
                <w:sz w:val="24"/>
                <w:szCs w:val="24"/>
              </w:rPr>
              <w:t xml:space="preserve">Victim </w:t>
            </w:r>
            <w:r w:rsidR="008F23A0">
              <w:rPr>
                <w:rFonts w:ascii="Arial" w:hAnsi="Arial" w:cs="Arial"/>
                <w:sz w:val="24"/>
                <w:szCs w:val="24"/>
              </w:rPr>
              <w:t xml:space="preserve">aged </w:t>
            </w:r>
            <w:r w:rsidRPr="0013541D">
              <w:rPr>
                <w:rFonts w:ascii="Arial" w:hAnsi="Arial" w:cs="Arial"/>
                <w:sz w:val="24"/>
                <w:szCs w:val="24"/>
              </w:rPr>
              <w:t xml:space="preserve">16 </w:t>
            </w:r>
            <w:r w:rsidR="008F23A0">
              <w:rPr>
                <w:rFonts w:ascii="Arial" w:hAnsi="Arial" w:cs="Arial"/>
                <w:sz w:val="24"/>
                <w:szCs w:val="24"/>
              </w:rPr>
              <w:t xml:space="preserve">or over </w:t>
            </w:r>
            <w:r w:rsidRPr="0013541D">
              <w:rPr>
                <w:rFonts w:ascii="Arial" w:hAnsi="Arial" w:cs="Arial"/>
                <w:sz w:val="24"/>
                <w:szCs w:val="24"/>
              </w:rPr>
              <w:t>only</w:t>
            </w:r>
          </w:p>
          <w:p w14:paraId="31324C5A" w14:textId="5FCD6146" w:rsidR="00F9095C" w:rsidRPr="0013541D" w:rsidRDefault="00F9095C">
            <w:pPr>
              <w:rPr>
                <w:rFonts w:ascii="Arial" w:hAnsi="Arial" w:cs="Arial"/>
                <w:sz w:val="24"/>
                <w:szCs w:val="24"/>
              </w:rPr>
            </w:pPr>
            <w:r w:rsidRPr="0013541D">
              <w:rPr>
                <w:rFonts w:ascii="Arial" w:hAnsi="Arial" w:cs="Arial"/>
                <w:sz w:val="24"/>
                <w:szCs w:val="24"/>
              </w:rPr>
              <w:t>Any</w:t>
            </w:r>
            <w:r w:rsidR="00A662BC">
              <w:rPr>
                <w:rFonts w:ascii="Arial" w:hAnsi="Arial" w:cs="Arial"/>
                <w:sz w:val="24"/>
                <w:szCs w:val="24"/>
              </w:rPr>
              <w:t xml:space="preserve"> third</w:t>
            </w:r>
            <w:r w:rsidRPr="0013541D">
              <w:rPr>
                <w:rFonts w:ascii="Arial" w:hAnsi="Arial" w:cs="Arial"/>
                <w:sz w:val="24"/>
                <w:szCs w:val="24"/>
              </w:rPr>
              <w:t xml:space="preserve"> party (organisation or individual) with leave of the court -s</w:t>
            </w:r>
            <w:r w:rsidR="00337F20">
              <w:rPr>
                <w:rFonts w:ascii="Arial" w:hAnsi="Arial" w:cs="Arial"/>
                <w:sz w:val="24"/>
                <w:szCs w:val="24"/>
              </w:rPr>
              <w:t xml:space="preserve">ection </w:t>
            </w:r>
            <w:r w:rsidRPr="0013541D">
              <w:rPr>
                <w:rFonts w:ascii="Arial" w:hAnsi="Arial" w:cs="Arial"/>
                <w:sz w:val="24"/>
                <w:szCs w:val="24"/>
              </w:rPr>
              <w:t>28(2)(d)</w:t>
            </w:r>
            <w:r w:rsidR="00F7724C">
              <w:rPr>
                <w:rFonts w:ascii="Arial" w:hAnsi="Arial" w:cs="Arial"/>
                <w:sz w:val="24"/>
                <w:szCs w:val="24"/>
              </w:rPr>
              <w:t xml:space="preserve"> DA Act</w:t>
            </w:r>
          </w:p>
        </w:tc>
      </w:tr>
      <w:tr w:rsidR="00F9095C" w:rsidRPr="0013541D" w14:paraId="1B33E4B9" w14:textId="77777777" w:rsidTr="00010208">
        <w:tc>
          <w:tcPr>
            <w:tcW w:w="2281" w:type="dxa"/>
            <w:shd w:val="clear" w:color="auto" w:fill="FFF2CC" w:themeFill="accent4" w:themeFillTint="33"/>
          </w:tcPr>
          <w:p w14:paraId="52E80540" w14:textId="77777777" w:rsidR="00F9095C" w:rsidRPr="00633E6B" w:rsidRDefault="00F9095C">
            <w:pPr>
              <w:rPr>
                <w:rFonts w:ascii="Arial" w:hAnsi="Arial" w:cs="Arial"/>
                <w:b/>
                <w:bCs/>
                <w:sz w:val="24"/>
                <w:szCs w:val="24"/>
              </w:rPr>
            </w:pPr>
            <w:r w:rsidRPr="00633E6B">
              <w:rPr>
                <w:rFonts w:ascii="Arial" w:hAnsi="Arial" w:cs="Arial"/>
                <w:b/>
                <w:bCs/>
                <w:sz w:val="24"/>
                <w:szCs w:val="24"/>
              </w:rPr>
              <w:t>Who can be protected</w:t>
            </w:r>
          </w:p>
        </w:tc>
        <w:tc>
          <w:tcPr>
            <w:tcW w:w="2964" w:type="dxa"/>
          </w:tcPr>
          <w:p w14:paraId="2A1E54F9" w14:textId="77777777" w:rsidR="00F9095C" w:rsidRPr="0013541D" w:rsidRDefault="00F9095C">
            <w:pPr>
              <w:rPr>
                <w:rFonts w:ascii="Arial" w:hAnsi="Arial" w:cs="Arial"/>
                <w:sz w:val="24"/>
                <w:szCs w:val="24"/>
              </w:rPr>
            </w:pPr>
            <w:r w:rsidRPr="0013541D">
              <w:rPr>
                <w:rFonts w:ascii="Arial" w:hAnsi="Arial" w:cs="Arial"/>
                <w:sz w:val="24"/>
                <w:szCs w:val="24"/>
              </w:rPr>
              <w:t>Adult victim and children</w:t>
            </w:r>
          </w:p>
          <w:p w14:paraId="68AE9D6F" w14:textId="77777777" w:rsidR="00F9095C" w:rsidRPr="0013541D" w:rsidRDefault="00F9095C">
            <w:pPr>
              <w:rPr>
                <w:rFonts w:ascii="Arial" w:hAnsi="Arial" w:cs="Arial"/>
                <w:sz w:val="24"/>
                <w:szCs w:val="24"/>
              </w:rPr>
            </w:pPr>
            <w:r w:rsidRPr="0013541D">
              <w:rPr>
                <w:rFonts w:ascii="Arial" w:hAnsi="Arial" w:cs="Arial"/>
                <w:sz w:val="24"/>
                <w:szCs w:val="24"/>
              </w:rPr>
              <w:t>Concept of ‘relevant children’ and ‘associated persons’</w:t>
            </w:r>
          </w:p>
        </w:tc>
        <w:tc>
          <w:tcPr>
            <w:tcW w:w="4820" w:type="dxa"/>
          </w:tcPr>
          <w:p w14:paraId="0DDAA862" w14:textId="692C4D1C" w:rsidR="00F9095C" w:rsidRPr="0013541D" w:rsidRDefault="00F9095C">
            <w:pPr>
              <w:rPr>
                <w:rFonts w:ascii="Arial" w:hAnsi="Arial" w:cs="Arial"/>
                <w:sz w:val="24"/>
                <w:szCs w:val="24"/>
              </w:rPr>
            </w:pPr>
            <w:r w:rsidRPr="0013541D">
              <w:rPr>
                <w:rFonts w:ascii="Arial" w:hAnsi="Arial" w:cs="Arial"/>
                <w:sz w:val="24"/>
                <w:szCs w:val="24"/>
              </w:rPr>
              <w:t xml:space="preserve">Victim </w:t>
            </w:r>
            <w:r w:rsidR="001466C9">
              <w:rPr>
                <w:rFonts w:ascii="Arial" w:hAnsi="Arial" w:cs="Arial"/>
                <w:sz w:val="24"/>
                <w:szCs w:val="24"/>
              </w:rPr>
              <w:t xml:space="preserve">aged 16 and </w:t>
            </w:r>
            <w:r w:rsidRPr="0013541D">
              <w:rPr>
                <w:rFonts w:ascii="Arial" w:hAnsi="Arial" w:cs="Arial"/>
                <w:sz w:val="24"/>
                <w:szCs w:val="24"/>
              </w:rPr>
              <w:t>above 16 only -s</w:t>
            </w:r>
            <w:r w:rsidR="001466C9">
              <w:rPr>
                <w:rFonts w:ascii="Arial" w:hAnsi="Arial" w:cs="Arial"/>
                <w:sz w:val="24"/>
                <w:szCs w:val="24"/>
              </w:rPr>
              <w:t xml:space="preserve">ection </w:t>
            </w:r>
            <w:r w:rsidRPr="0013541D">
              <w:rPr>
                <w:rFonts w:ascii="Arial" w:hAnsi="Arial" w:cs="Arial"/>
                <w:sz w:val="24"/>
                <w:szCs w:val="24"/>
              </w:rPr>
              <w:t xml:space="preserve">32(2) and respondents </w:t>
            </w:r>
            <w:r w:rsidR="00AA7D65">
              <w:rPr>
                <w:rFonts w:ascii="Arial" w:hAnsi="Arial" w:cs="Arial"/>
                <w:sz w:val="24"/>
                <w:szCs w:val="24"/>
              </w:rPr>
              <w:t xml:space="preserve">aged 18 and </w:t>
            </w:r>
            <w:r w:rsidRPr="0013541D">
              <w:rPr>
                <w:rFonts w:ascii="Arial" w:hAnsi="Arial" w:cs="Arial"/>
                <w:sz w:val="24"/>
                <w:szCs w:val="24"/>
              </w:rPr>
              <w:t>above -</w:t>
            </w:r>
            <w:r w:rsidR="002B6153">
              <w:rPr>
                <w:rFonts w:ascii="Arial" w:hAnsi="Arial" w:cs="Arial"/>
                <w:sz w:val="24"/>
                <w:szCs w:val="24"/>
              </w:rPr>
              <w:t xml:space="preserve"> </w:t>
            </w:r>
            <w:r w:rsidRPr="0013541D">
              <w:rPr>
                <w:rFonts w:ascii="Arial" w:hAnsi="Arial" w:cs="Arial"/>
                <w:sz w:val="24"/>
                <w:szCs w:val="24"/>
              </w:rPr>
              <w:t>s</w:t>
            </w:r>
            <w:r w:rsidR="00AA7D65">
              <w:rPr>
                <w:rFonts w:ascii="Arial" w:hAnsi="Arial" w:cs="Arial"/>
                <w:sz w:val="24"/>
                <w:szCs w:val="24"/>
              </w:rPr>
              <w:t xml:space="preserve">ection </w:t>
            </w:r>
            <w:r w:rsidRPr="0013541D">
              <w:rPr>
                <w:rFonts w:ascii="Arial" w:hAnsi="Arial" w:cs="Arial"/>
                <w:sz w:val="24"/>
                <w:szCs w:val="24"/>
              </w:rPr>
              <w:t>32(5)</w:t>
            </w:r>
            <w:r w:rsidR="00F7724C">
              <w:rPr>
                <w:rFonts w:ascii="Arial" w:hAnsi="Arial" w:cs="Arial"/>
                <w:sz w:val="24"/>
                <w:szCs w:val="24"/>
              </w:rPr>
              <w:t xml:space="preserve"> DA Act</w:t>
            </w:r>
          </w:p>
          <w:p w14:paraId="187A7126" w14:textId="11A6C065" w:rsidR="00F9095C" w:rsidRPr="0013541D" w:rsidRDefault="00F9095C">
            <w:pPr>
              <w:rPr>
                <w:rFonts w:ascii="Arial" w:hAnsi="Arial" w:cs="Arial"/>
                <w:sz w:val="24"/>
                <w:szCs w:val="24"/>
              </w:rPr>
            </w:pPr>
            <w:r w:rsidRPr="0013541D">
              <w:rPr>
                <w:rFonts w:ascii="Arial" w:hAnsi="Arial" w:cs="Arial"/>
                <w:sz w:val="24"/>
                <w:szCs w:val="24"/>
              </w:rPr>
              <w:t>Children only indirectly - the concept of welfare of ‘any child’ -</w:t>
            </w:r>
            <w:r w:rsidR="000B6796">
              <w:rPr>
                <w:rFonts w:ascii="Arial" w:hAnsi="Arial" w:cs="Arial"/>
                <w:sz w:val="24"/>
                <w:szCs w:val="24"/>
              </w:rPr>
              <w:t xml:space="preserve"> </w:t>
            </w:r>
            <w:r w:rsidRPr="0013541D">
              <w:rPr>
                <w:rFonts w:ascii="Arial" w:hAnsi="Arial" w:cs="Arial"/>
                <w:sz w:val="24"/>
                <w:szCs w:val="24"/>
              </w:rPr>
              <w:t>s</w:t>
            </w:r>
            <w:r w:rsidR="000B6796">
              <w:rPr>
                <w:rFonts w:ascii="Arial" w:hAnsi="Arial" w:cs="Arial"/>
                <w:sz w:val="24"/>
                <w:szCs w:val="24"/>
              </w:rPr>
              <w:t xml:space="preserve">ection </w:t>
            </w:r>
            <w:r w:rsidRPr="0013541D">
              <w:rPr>
                <w:rFonts w:ascii="Arial" w:hAnsi="Arial" w:cs="Arial"/>
                <w:sz w:val="24"/>
                <w:szCs w:val="24"/>
              </w:rPr>
              <w:t>33(1)(a) DA Act</w:t>
            </w:r>
          </w:p>
          <w:p w14:paraId="2C538577" w14:textId="108A7574" w:rsidR="00F9095C" w:rsidRPr="0013541D" w:rsidRDefault="00F9095C">
            <w:pPr>
              <w:rPr>
                <w:rFonts w:ascii="Arial" w:hAnsi="Arial" w:cs="Arial"/>
                <w:sz w:val="24"/>
                <w:szCs w:val="24"/>
              </w:rPr>
            </w:pPr>
            <w:r w:rsidRPr="0013541D">
              <w:rPr>
                <w:rFonts w:ascii="Arial" w:hAnsi="Arial" w:cs="Arial"/>
                <w:sz w:val="24"/>
                <w:szCs w:val="24"/>
              </w:rPr>
              <w:t>‘</w:t>
            </w:r>
            <w:proofErr w:type="gramStart"/>
            <w:r w:rsidRPr="0013541D">
              <w:rPr>
                <w:rFonts w:ascii="Arial" w:hAnsi="Arial" w:cs="Arial"/>
                <w:sz w:val="24"/>
                <w:szCs w:val="24"/>
              </w:rPr>
              <w:t>personally</w:t>
            </w:r>
            <w:proofErr w:type="gramEnd"/>
            <w:r w:rsidRPr="0013541D">
              <w:rPr>
                <w:rFonts w:ascii="Arial" w:hAnsi="Arial" w:cs="Arial"/>
                <w:sz w:val="24"/>
                <w:szCs w:val="24"/>
              </w:rPr>
              <w:t xml:space="preserve"> connected’ definition in s</w:t>
            </w:r>
            <w:r w:rsidR="00627C4D">
              <w:rPr>
                <w:rFonts w:ascii="Arial" w:hAnsi="Arial" w:cs="Arial"/>
                <w:sz w:val="24"/>
                <w:szCs w:val="24"/>
              </w:rPr>
              <w:t xml:space="preserve">ection </w:t>
            </w:r>
            <w:r w:rsidRPr="0013541D">
              <w:rPr>
                <w:rFonts w:ascii="Arial" w:hAnsi="Arial" w:cs="Arial"/>
                <w:sz w:val="24"/>
                <w:szCs w:val="24"/>
              </w:rPr>
              <w:t>2 DA Act</w:t>
            </w:r>
          </w:p>
        </w:tc>
      </w:tr>
      <w:tr w:rsidR="00F9095C" w:rsidRPr="0013541D" w14:paraId="09BC89B7" w14:textId="77777777" w:rsidTr="00010208">
        <w:tc>
          <w:tcPr>
            <w:tcW w:w="2281" w:type="dxa"/>
            <w:shd w:val="clear" w:color="auto" w:fill="FFF2CC" w:themeFill="accent4" w:themeFillTint="33"/>
          </w:tcPr>
          <w:p w14:paraId="30DA536B" w14:textId="77777777" w:rsidR="00F9095C" w:rsidRPr="00633E6B" w:rsidRDefault="00F9095C">
            <w:pPr>
              <w:rPr>
                <w:rFonts w:ascii="Arial" w:hAnsi="Arial" w:cs="Arial"/>
                <w:b/>
                <w:bCs/>
                <w:sz w:val="24"/>
                <w:szCs w:val="24"/>
              </w:rPr>
            </w:pPr>
            <w:r w:rsidRPr="00633E6B">
              <w:rPr>
                <w:rFonts w:ascii="Arial" w:hAnsi="Arial" w:cs="Arial"/>
                <w:b/>
                <w:bCs/>
                <w:sz w:val="24"/>
                <w:szCs w:val="24"/>
              </w:rPr>
              <w:t>Property condition</w:t>
            </w:r>
          </w:p>
        </w:tc>
        <w:tc>
          <w:tcPr>
            <w:tcW w:w="2964" w:type="dxa"/>
          </w:tcPr>
          <w:p w14:paraId="4141686C" w14:textId="77777777" w:rsidR="00F9095C" w:rsidRDefault="00F9095C">
            <w:pPr>
              <w:rPr>
                <w:rFonts w:ascii="Arial" w:hAnsi="Arial" w:cs="Arial"/>
                <w:sz w:val="24"/>
                <w:szCs w:val="24"/>
              </w:rPr>
            </w:pPr>
            <w:r w:rsidRPr="0013541D">
              <w:rPr>
                <w:rFonts w:ascii="Arial" w:hAnsi="Arial" w:cs="Arial"/>
                <w:sz w:val="24"/>
                <w:szCs w:val="24"/>
              </w:rPr>
              <w:t xml:space="preserve">Family Law Act provides for specific conditions for OOs – eg payment of </w:t>
            </w:r>
            <w:r w:rsidRPr="0013541D">
              <w:rPr>
                <w:rFonts w:ascii="Arial" w:hAnsi="Arial" w:cs="Arial"/>
                <w:sz w:val="24"/>
                <w:szCs w:val="24"/>
              </w:rPr>
              <w:lastRenderedPageBreak/>
              <w:t>rent or mortgage, the concept of home rights</w:t>
            </w:r>
          </w:p>
          <w:p w14:paraId="62429581" w14:textId="77777777" w:rsidR="008C0B90" w:rsidRDefault="008C0B90">
            <w:pPr>
              <w:rPr>
                <w:rFonts w:ascii="Arial" w:hAnsi="Arial" w:cs="Arial"/>
                <w:sz w:val="24"/>
                <w:szCs w:val="24"/>
              </w:rPr>
            </w:pPr>
          </w:p>
          <w:p w14:paraId="42BEEAEA" w14:textId="56794645" w:rsidR="008C0B90" w:rsidRPr="0013541D" w:rsidRDefault="008C0B90">
            <w:pPr>
              <w:rPr>
                <w:rFonts w:ascii="Arial" w:hAnsi="Arial" w:cs="Arial"/>
                <w:sz w:val="24"/>
                <w:szCs w:val="24"/>
              </w:rPr>
            </w:pPr>
            <w:r>
              <w:rPr>
                <w:rFonts w:ascii="Arial" w:hAnsi="Arial" w:cs="Arial"/>
                <w:sz w:val="24"/>
                <w:szCs w:val="24"/>
              </w:rPr>
              <w:t xml:space="preserve">Concept of ‘home </w:t>
            </w:r>
            <w:proofErr w:type="gramStart"/>
            <w:r>
              <w:rPr>
                <w:rFonts w:ascii="Arial" w:hAnsi="Arial" w:cs="Arial"/>
                <w:sz w:val="24"/>
                <w:szCs w:val="24"/>
              </w:rPr>
              <w:t>rights’</w:t>
            </w:r>
            <w:proofErr w:type="gramEnd"/>
            <w:r>
              <w:rPr>
                <w:rFonts w:ascii="Arial" w:hAnsi="Arial" w:cs="Arial"/>
                <w:sz w:val="24"/>
                <w:szCs w:val="24"/>
              </w:rPr>
              <w:t xml:space="preserve"> and categories of ownership/</w:t>
            </w:r>
            <w:r w:rsidR="008A070B">
              <w:rPr>
                <w:rFonts w:ascii="Arial" w:hAnsi="Arial" w:cs="Arial"/>
                <w:sz w:val="24"/>
                <w:szCs w:val="24"/>
              </w:rPr>
              <w:t>occupation</w:t>
            </w:r>
          </w:p>
        </w:tc>
        <w:tc>
          <w:tcPr>
            <w:tcW w:w="4820" w:type="dxa"/>
          </w:tcPr>
          <w:p w14:paraId="36D14650" w14:textId="632D8D7A" w:rsidR="00F9095C" w:rsidRDefault="00D011D4">
            <w:pPr>
              <w:rPr>
                <w:rFonts w:ascii="Arial" w:hAnsi="Arial" w:cs="Arial"/>
                <w:sz w:val="24"/>
                <w:szCs w:val="24"/>
              </w:rPr>
            </w:pPr>
            <w:r>
              <w:rPr>
                <w:rFonts w:ascii="Arial" w:hAnsi="Arial" w:cs="Arial"/>
                <w:sz w:val="24"/>
                <w:szCs w:val="24"/>
              </w:rPr>
              <w:lastRenderedPageBreak/>
              <w:t>C</w:t>
            </w:r>
            <w:r w:rsidR="00F9095C" w:rsidRPr="0013541D">
              <w:rPr>
                <w:rFonts w:ascii="Arial" w:hAnsi="Arial" w:cs="Arial"/>
                <w:sz w:val="24"/>
                <w:szCs w:val="24"/>
              </w:rPr>
              <w:t>ondition</w:t>
            </w:r>
            <w:r>
              <w:rPr>
                <w:rFonts w:ascii="Arial" w:hAnsi="Arial" w:cs="Arial"/>
                <w:sz w:val="24"/>
                <w:szCs w:val="24"/>
              </w:rPr>
              <w:t>s</w:t>
            </w:r>
            <w:r w:rsidR="00F9095C" w:rsidRPr="0013541D">
              <w:rPr>
                <w:rFonts w:ascii="Arial" w:hAnsi="Arial" w:cs="Arial"/>
                <w:sz w:val="24"/>
                <w:szCs w:val="24"/>
              </w:rPr>
              <w:t xml:space="preserve"> in relation to property </w:t>
            </w:r>
            <w:r w:rsidR="001014D3">
              <w:rPr>
                <w:rFonts w:ascii="Arial" w:hAnsi="Arial" w:cs="Arial"/>
                <w:sz w:val="24"/>
                <w:szCs w:val="24"/>
              </w:rPr>
              <w:t xml:space="preserve">not specified </w:t>
            </w:r>
            <w:r w:rsidR="00F9095C" w:rsidRPr="0013541D">
              <w:rPr>
                <w:rFonts w:ascii="Arial" w:hAnsi="Arial" w:cs="Arial"/>
                <w:sz w:val="24"/>
                <w:szCs w:val="24"/>
              </w:rPr>
              <w:t>– s</w:t>
            </w:r>
            <w:r w:rsidR="00020534">
              <w:rPr>
                <w:rFonts w:ascii="Arial" w:hAnsi="Arial" w:cs="Arial"/>
                <w:sz w:val="24"/>
                <w:szCs w:val="24"/>
              </w:rPr>
              <w:t xml:space="preserve">ection </w:t>
            </w:r>
            <w:r w:rsidR="00F9095C" w:rsidRPr="0013541D">
              <w:rPr>
                <w:rFonts w:ascii="Arial" w:hAnsi="Arial" w:cs="Arial"/>
                <w:sz w:val="24"/>
                <w:szCs w:val="24"/>
              </w:rPr>
              <w:t xml:space="preserve">35 DA Act examples (payment of rent / keeping home in good </w:t>
            </w:r>
            <w:r w:rsidR="00F9095C" w:rsidRPr="0013541D">
              <w:rPr>
                <w:rFonts w:ascii="Arial" w:hAnsi="Arial" w:cs="Arial"/>
                <w:sz w:val="24"/>
                <w:szCs w:val="24"/>
              </w:rPr>
              <w:lastRenderedPageBreak/>
              <w:t>state of repair not specifically listed but note the list is non-exhaustive)</w:t>
            </w:r>
          </w:p>
          <w:p w14:paraId="65EBFB20" w14:textId="77777777" w:rsidR="002F2546" w:rsidRDefault="002F2546">
            <w:pPr>
              <w:rPr>
                <w:rFonts w:ascii="Arial" w:hAnsi="Arial" w:cs="Arial"/>
                <w:sz w:val="24"/>
                <w:szCs w:val="24"/>
              </w:rPr>
            </w:pPr>
          </w:p>
          <w:p w14:paraId="3146F1F1" w14:textId="4D8BA92E" w:rsidR="002F2546" w:rsidRPr="0013541D" w:rsidRDefault="002F2546">
            <w:pPr>
              <w:rPr>
                <w:rFonts w:ascii="Arial" w:hAnsi="Arial" w:cs="Arial"/>
                <w:sz w:val="24"/>
                <w:szCs w:val="24"/>
              </w:rPr>
            </w:pPr>
            <w:r>
              <w:rPr>
                <w:rFonts w:ascii="Arial" w:hAnsi="Arial" w:cs="Arial"/>
                <w:sz w:val="24"/>
                <w:szCs w:val="24"/>
              </w:rPr>
              <w:t>No concept of ‘home rights’</w:t>
            </w:r>
            <w:r w:rsidR="008A070B">
              <w:rPr>
                <w:rFonts w:ascii="Arial" w:hAnsi="Arial" w:cs="Arial"/>
                <w:sz w:val="24"/>
                <w:szCs w:val="24"/>
              </w:rPr>
              <w:t>, who owns the home is</w:t>
            </w:r>
            <w:r w:rsidR="002D571E">
              <w:rPr>
                <w:rFonts w:ascii="Arial" w:hAnsi="Arial" w:cs="Arial"/>
                <w:sz w:val="24"/>
                <w:szCs w:val="24"/>
              </w:rPr>
              <w:t xml:space="preserve"> not specifically linked to any rights – but note that requirements imposed under a DAPO must be ‘necessary’</w:t>
            </w:r>
          </w:p>
        </w:tc>
      </w:tr>
      <w:tr w:rsidR="00F9095C" w:rsidRPr="0013541D" w14:paraId="5DE72B5A" w14:textId="77777777" w:rsidTr="00010208">
        <w:tc>
          <w:tcPr>
            <w:tcW w:w="2281" w:type="dxa"/>
            <w:shd w:val="clear" w:color="auto" w:fill="FFF2CC" w:themeFill="accent4" w:themeFillTint="33"/>
          </w:tcPr>
          <w:p w14:paraId="20FBD8D2" w14:textId="77777777" w:rsidR="00F9095C" w:rsidRPr="00633E6B" w:rsidRDefault="00F9095C">
            <w:pPr>
              <w:rPr>
                <w:rFonts w:ascii="Arial" w:hAnsi="Arial" w:cs="Arial"/>
                <w:b/>
                <w:bCs/>
                <w:sz w:val="24"/>
                <w:szCs w:val="24"/>
              </w:rPr>
            </w:pPr>
            <w:r w:rsidRPr="00633E6B">
              <w:rPr>
                <w:rFonts w:ascii="Arial" w:hAnsi="Arial" w:cs="Arial"/>
                <w:b/>
                <w:bCs/>
                <w:sz w:val="24"/>
                <w:szCs w:val="24"/>
              </w:rPr>
              <w:lastRenderedPageBreak/>
              <w:t>Other conditions</w:t>
            </w:r>
          </w:p>
        </w:tc>
        <w:tc>
          <w:tcPr>
            <w:tcW w:w="2964" w:type="dxa"/>
          </w:tcPr>
          <w:p w14:paraId="78B9B1A0" w14:textId="7F45753B" w:rsidR="00F9095C" w:rsidRPr="0013541D" w:rsidRDefault="00F9095C">
            <w:pPr>
              <w:rPr>
                <w:rFonts w:ascii="Arial" w:hAnsi="Arial" w:cs="Arial"/>
                <w:sz w:val="24"/>
                <w:szCs w:val="24"/>
              </w:rPr>
            </w:pPr>
            <w:r w:rsidRPr="0013541D">
              <w:rPr>
                <w:rFonts w:ascii="Arial" w:hAnsi="Arial" w:cs="Arial"/>
                <w:sz w:val="24"/>
                <w:szCs w:val="24"/>
              </w:rPr>
              <w:t>Restrictions and prohibitions</w:t>
            </w:r>
            <w:r w:rsidR="0067073F">
              <w:rPr>
                <w:rFonts w:ascii="Arial" w:hAnsi="Arial" w:cs="Arial"/>
                <w:sz w:val="24"/>
                <w:szCs w:val="24"/>
              </w:rPr>
              <w:t xml:space="preserve"> and some </w:t>
            </w:r>
            <w:r w:rsidR="007449F1">
              <w:rPr>
                <w:rFonts w:ascii="Arial" w:hAnsi="Arial" w:cs="Arial"/>
                <w:sz w:val="24"/>
                <w:szCs w:val="24"/>
              </w:rPr>
              <w:t>obligation</w:t>
            </w:r>
            <w:r w:rsidR="0067073F">
              <w:rPr>
                <w:rFonts w:ascii="Arial" w:hAnsi="Arial" w:cs="Arial"/>
                <w:sz w:val="24"/>
                <w:szCs w:val="24"/>
              </w:rPr>
              <w:t xml:space="preserve">s </w:t>
            </w:r>
            <w:r w:rsidR="007449F1">
              <w:rPr>
                <w:rFonts w:ascii="Arial" w:hAnsi="Arial" w:cs="Arial"/>
                <w:sz w:val="24"/>
                <w:szCs w:val="24"/>
              </w:rPr>
              <w:t xml:space="preserve">in relation to property </w:t>
            </w:r>
            <w:r w:rsidR="0067073F">
              <w:rPr>
                <w:rFonts w:ascii="Arial" w:hAnsi="Arial" w:cs="Arial"/>
                <w:sz w:val="24"/>
                <w:szCs w:val="24"/>
              </w:rPr>
              <w:t>(OO)</w:t>
            </w:r>
          </w:p>
        </w:tc>
        <w:tc>
          <w:tcPr>
            <w:tcW w:w="4820" w:type="dxa"/>
          </w:tcPr>
          <w:p w14:paraId="06E02FF4" w14:textId="77777777" w:rsidR="00F9095C" w:rsidRPr="0013541D" w:rsidRDefault="00F9095C">
            <w:pPr>
              <w:rPr>
                <w:rFonts w:ascii="Arial" w:hAnsi="Arial" w:cs="Arial"/>
                <w:i/>
                <w:iCs/>
                <w:sz w:val="24"/>
                <w:szCs w:val="24"/>
              </w:rPr>
            </w:pPr>
            <w:r w:rsidRPr="0013541D">
              <w:rPr>
                <w:rFonts w:ascii="Arial" w:hAnsi="Arial" w:cs="Arial"/>
                <w:sz w:val="24"/>
                <w:szCs w:val="24"/>
              </w:rPr>
              <w:t xml:space="preserve">Restrictions and prohibitions </w:t>
            </w:r>
            <w:r w:rsidRPr="00E7535B">
              <w:rPr>
                <w:rFonts w:ascii="Arial" w:hAnsi="Arial" w:cs="Arial"/>
                <w:b/>
                <w:bCs/>
                <w:i/>
                <w:iCs/>
                <w:sz w:val="24"/>
                <w:szCs w:val="24"/>
              </w:rPr>
              <w:t>plus</w:t>
            </w:r>
          </w:p>
          <w:p w14:paraId="619C5B9C" w14:textId="77777777" w:rsidR="00F9095C" w:rsidRPr="0013541D" w:rsidRDefault="00F9095C">
            <w:pPr>
              <w:rPr>
                <w:rFonts w:ascii="Arial" w:hAnsi="Arial" w:cs="Arial"/>
                <w:sz w:val="24"/>
                <w:szCs w:val="24"/>
              </w:rPr>
            </w:pPr>
            <w:r w:rsidRPr="0013541D">
              <w:rPr>
                <w:rFonts w:ascii="Arial" w:hAnsi="Arial" w:cs="Arial"/>
                <w:sz w:val="24"/>
                <w:szCs w:val="24"/>
              </w:rPr>
              <w:t>Electronic monitoring - optional</w:t>
            </w:r>
          </w:p>
          <w:p w14:paraId="467363D0" w14:textId="6519B0AA" w:rsidR="00F9095C" w:rsidRPr="0013541D" w:rsidRDefault="00F9095C">
            <w:pPr>
              <w:rPr>
                <w:rFonts w:ascii="Arial" w:hAnsi="Arial" w:cs="Arial"/>
                <w:sz w:val="24"/>
                <w:szCs w:val="24"/>
              </w:rPr>
            </w:pPr>
            <w:r w:rsidRPr="0013541D">
              <w:rPr>
                <w:rFonts w:ascii="Arial" w:hAnsi="Arial" w:cs="Arial"/>
                <w:sz w:val="24"/>
                <w:szCs w:val="24"/>
              </w:rPr>
              <w:t>Positive requirements (</w:t>
            </w:r>
            <w:r w:rsidR="009063AC" w:rsidRPr="0013541D">
              <w:rPr>
                <w:rFonts w:ascii="Arial" w:hAnsi="Arial" w:cs="Arial"/>
                <w:sz w:val="24"/>
                <w:szCs w:val="24"/>
              </w:rPr>
              <w:t>e.</w:t>
            </w:r>
            <w:r w:rsidR="009063AC">
              <w:rPr>
                <w:rFonts w:ascii="Arial" w:hAnsi="Arial" w:cs="Arial"/>
                <w:sz w:val="24"/>
                <w:szCs w:val="24"/>
              </w:rPr>
              <w:t>g</w:t>
            </w:r>
            <w:r w:rsidR="009063AC" w:rsidRPr="0013541D">
              <w:t>.</w:t>
            </w:r>
            <w:r w:rsidRPr="0013541D">
              <w:rPr>
                <w:rFonts w:ascii="Arial" w:hAnsi="Arial" w:cs="Arial"/>
                <w:sz w:val="24"/>
                <w:szCs w:val="24"/>
              </w:rPr>
              <w:t xml:space="preserve"> </w:t>
            </w:r>
            <w:r w:rsidR="00570C23">
              <w:rPr>
                <w:rFonts w:ascii="Arial" w:hAnsi="Arial" w:cs="Arial"/>
                <w:sz w:val="24"/>
                <w:szCs w:val="24"/>
              </w:rPr>
              <w:t>attendance on</w:t>
            </w:r>
            <w:r w:rsidR="00305D31">
              <w:rPr>
                <w:rFonts w:ascii="Arial" w:hAnsi="Arial" w:cs="Arial"/>
                <w:sz w:val="24"/>
                <w:szCs w:val="24"/>
              </w:rPr>
              <w:t xml:space="preserve"> a </w:t>
            </w:r>
            <w:r w:rsidRPr="0013541D">
              <w:rPr>
                <w:rFonts w:ascii="Arial" w:hAnsi="Arial" w:cs="Arial"/>
                <w:sz w:val="24"/>
                <w:szCs w:val="24"/>
              </w:rPr>
              <w:t xml:space="preserve">course) </w:t>
            </w:r>
            <w:r w:rsidR="00E7535B">
              <w:rPr>
                <w:rFonts w:ascii="Arial" w:hAnsi="Arial" w:cs="Arial"/>
                <w:sz w:val="24"/>
                <w:szCs w:val="24"/>
              </w:rPr>
              <w:t>- optional</w:t>
            </w:r>
            <w:r w:rsidRPr="0013541D">
              <w:rPr>
                <w:rFonts w:ascii="Arial" w:hAnsi="Arial" w:cs="Arial"/>
                <w:sz w:val="24"/>
                <w:szCs w:val="24"/>
              </w:rPr>
              <w:t xml:space="preserve"> </w:t>
            </w:r>
          </w:p>
          <w:p w14:paraId="53C8EADE" w14:textId="77777777" w:rsidR="00F9095C" w:rsidRPr="0013541D" w:rsidRDefault="00F9095C">
            <w:pPr>
              <w:rPr>
                <w:rFonts w:ascii="Arial" w:hAnsi="Arial" w:cs="Arial"/>
                <w:sz w:val="24"/>
                <w:szCs w:val="24"/>
              </w:rPr>
            </w:pPr>
            <w:r w:rsidRPr="0013541D">
              <w:rPr>
                <w:rFonts w:ascii="Arial" w:hAnsi="Arial" w:cs="Arial"/>
                <w:sz w:val="24"/>
                <w:szCs w:val="24"/>
              </w:rPr>
              <w:t>Notification of name and address to police – included as default in every order</w:t>
            </w:r>
          </w:p>
        </w:tc>
      </w:tr>
    </w:tbl>
    <w:p w14:paraId="3407EECE" w14:textId="4DB19EE7" w:rsidR="005B6A51" w:rsidRDefault="001A6463" w:rsidP="00D73700">
      <w:pPr>
        <w:pStyle w:val="Heading1briefing"/>
      </w:pPr>
      <w:bookmarkStart w:id="63" w:name="_Toc181202780"/>
      <w:r>
        <w:t>Court Rule</w:t>
      </w:r>
      <w:r w:rsidR="00CF3341">
        <w:t>s and other secondary legislation</w:t>
      </w:r>
      <w:bookmarkEnd w:id="63"/>
    </w:p>
    <w:p w14:paraId="12471705" w14:textId="2DFDC111" w:rsidR="00CD6C8C" w:rsidRPr="00E20E98" w:rsidRDefault="00CD6C8C" w:rsidP="00CF3341">
      <w:pPr>
        <w:rPr>
          <w:b/>
          <w:bCs/>
        </w:rPr>
      </w:pPr>
      <w:r w:rsidRPr="00E20E98">
        <w:rPr>
          <w:b/>
          <w:bCs/>
        </w:rPr>
        <w:t>Family</w:t>
      </w:r>
    </w:p>
    <w:p w14:paraId="099054FB" w14:textId="1BF1416F" w:rsidR="00CF3341" w:rsidRDefault="00CF3341" w:rsidP="00CF3341">
      <w:r>
        <w:t xml:space="preserve">In relation to the family court, the </w:t>
      </w:r>
      <w:r w:rsidR="003D690D">
        <w:t>FPRC</w:t>
      </w:r>
      <w:r>
        <w:t xml:space="preserve"> </w:t>
      </w:r>
      <w:r w:rsidR="007E7C8D">
        <w:t xml:space="preserve">carried out a stakeholder </w:t>
      </w:r>
      <w:r>
        <w:t>consult</w:t>
      </w:r>
      <w:r w:rsidR="00E01142">
        <w:t xml:space="preserve">ation </w:t>
      </w:r>
      <w:r>
        <w:t xml:space="preserve">on the </w:t>
      </w:r>
      <w:r w:rsidR="00EE7BB5">
        <w:t xml:space="preserve">draft </w:t>
      </w:r>
      <w:r>
        <w:t xml:space="preserve">pilot practice direction </w:t>
      </w:r>
      <w:r w:rsidR="00164774">
        <w:t>in 2023</w:t>
      </w:r>
      <w:r w:rsidR="007E7C8D">
        <w:t>. T</w:t>
      </w:r>
      <w:r w:rsidR="00EE7BB5">
        <w:t xml:space="preserve">he FPRC </w:t>
      </w:r>
      <w:r w:rsidR="00D00EFC">
        <w:t>approved a final draft of the practice direction</w:t>
      </w:r>
      <w:r w:rsidR="00AD1828">
        <w:t>, and it has</w:t>
      </w:r>
      <w:r w:rsidR="00191DA6">
        <w:t xml:space="preserve"> since been published</w:t>
      </w:r>
      <w:r w:rsidR="00A80740">
        <w:t xml:space="preserve">, </w:t>
      </w:r>
      <w:r w:rsidR="00C77476">
        <w:t xml:space="preserve">as part of </w:t>
      </w:r>
      <w:r w:rsidR="00D01233">
        <w:t>Family PD</w:t>
      </w:r>
      <w:r w:rsidR="00D01233" w:rsidRPr="00745EAA">
        <w:t xml:space="preserve"> (update no.4</w:t>
      </w:r>
      <w:r w:rsidR="00BD6C3D">
        <w:t>, May 2024</w:t>
      </w:r>
      <w:r w:rsidR="00D01233" w:rsidRPr="00745EAA">
        <w:t xml:space="preserve">) </w:t>
      </w:r>
      <w:hyperlink r:id="rId84" w:tgtFrame="_blank" w:history="1">
        <w:r w:rsidR="00D01233" w:rsidRPr="00745EAA">
          <w:rPr>
            <w:rStyle w:val="Hyperlink"/>
          </w:rPr>
          <w:t>Family Procedure Rules – Justice UK</w:t>
        </w:r>
      </w:hyperlink>
      <w:r w:rsidR="00D01233" w:rsidRPr="00745EAA">
        <w:t>  </w:t>
      </w:r>
      <w:r w:rsidR="007E1A80">
        <w:t xml:space="preserve"> </w:t>
      </w:r>
    </w:p>
    <w:p w14:paraId="554BA2DD" w14:textId="67E54A15" w:rsidR="00C91CA7" w:rsidRDefault="00C61525" w:rsidP="00CF3341">
      <w:r>
        <w:t>A new bespoke application form has been prepared</w:t>
      </w:r>
      <w:r w:rsidR="00236217">
        <w:t xml:space="preserve"> (DA1)</w:t>
      </w:r>
      <w:r>
        <w:t>, together with permission to apply form</w:t>
      </w:r>
      <w:r w:rsidR="00236217">
        <w:t xml:space="preserve"> (DA2)</w:t>
      </w:r>
      <w:r>
        <w:t xml:space="preserve"> and an optional witness statement template. </w:t>
      </w:r>
      <w:r w:rsidR="008C430F">
        <w:t>These f</w:t>
      </w:r>
      <w:r w:rsidR="00D95F19">
        <w:t>orms are</w:t>
      </w:r>
      <w:r w:rsidR="008C430F">
        <w:t xml:space="preserve"> available </w:t>
      </w:r>
      <w:r w:rsidR="00ED11B7">
        <w:t>in a downloadable pdf format on the GOV.UK</w:t>
      </w:r>
      <w:r w:rsidR="00822F15">
        <w:t xml:space="preserve">: </w:t>
      </w:r>
      <w:hyperlink r:id="rId85" w:history="1">
        <w:r w:rsidR="00822F15" w:rsidRPr="00822F15">
          <w:rPr>
            <w:rStyle w:val="Hyperlink"/>
          </w:rPr>
          <w:t>Apply for a domestic abuse protection order in a family court - GOV.UK</w:t>
        </w:r>
      </w:hyperlink>
      <w:r w:rsidR="00ED11B7">
        <w:t>.</w:t>
      </w:r>
      <w:r w:rsidR="00B15F31">
        <w:t>.</w:t>
      </w:r>
    </w:p>
    <w:p w14:paraId="29F37F9B" w14:textId="57AEA537" w:rsidR="00CD6C8C" w:rsidRPr="00E20E98" w:rsidRDefault="00CD6C8C" w:rsidP="00CF3341">
      <w:pPr>
        <w:rPr>
          <w:b/>
          <w:bCs/>
        </w:rPr>
      </w:pPr>
      <w:r w:rsidRPr="00E20E98">
        <w:rPr>
          <w:b/>
          <w:bCs/>
        </w:rPr>
        <w:t>Civil</w:t>
      </w:r>
      <w:r w:rsidR="008A4321" w:rsidRPr="00E20E98">
        <w:rPr>
          <w:b/>
          <w:bCs/>
        </w:rPr>
        <w:t xml:space="preserve"> (county proceedings only)</w:t>
      </w:r>
    </w:p>
    <w:p w14:paraId="7B0DCBAB" w14:textId="77777777" w:rsidR="00C346E2" w:rsidRDefault="00B02049" w:rsidP="00CF3341">
      <w:r>
        <w:t>The</w:t>
      </w:r>
      <w:r w:rsidR="003D690D">
        <w:t xml:space="preserve"> Civil Procedure Rule Committee (CPRC)</w:t>
      </w:r>
      <w:r w:rsidR="0092466E">
        <w:t xml:space="preserve"> has approved a similar pilot practice direction for use for DAPOs which are made in specified county court proceedings</w:t>
      </w:r>
      <w:r w:rsidR="00CD6C8C">
        <w:t>.</w:t>
      </w:r>
      <w:r w:rsidR="0068163C">
        <w:t xml:space="preserve"> Existing N244 form will be used for making applications within proceedings.</w:t>
      </w:r>
      <w:r w:rsidR="00BE3E08">
        <w:t xml:space="preserve"> An SI specifyin</w:t>
      </w:r>
      <w:r w:rsidR="00C6558C">
        <w:t>g a list of civil proceedings where a DAPO can be made has been laid and is available at</w:t>
      </w:r>
      <w:r w:rsidR="007D3901">
        <w:t>:</w:t>
      </w:r>
    </w:p>
    <w:p w14:paraId="1E0D7FCA" w14:textId="259B5BBA" w:rsidR="00B02049" w:rsidRDefault="00C6558C" w:rsidP="00CF3341">
      <w:pPr>
        <w:rPr>
          <w:rStyle w:val="Hyperlink"/>
        </w:rPr>
      </w:pPr>
      <w:hyperlink r:id="rId86" w:history="1">
        <w:r>
          <w:rPr>
            <w:rStyle w:val="Hyperlink"/>
          </w:rPr>
          <w:t>The Domestic Abuse Protection Orders (County Court: Relevant Proceedings) Regulations 2024 (legislation.gov.uk)</w:t>
        </w:r>
      </w:hyperlink>
    </w:p>
    <w:p w14:paraId="1D0DF4F1" w14:textId="7B7E236C" w:rsidR="00680BFD" w:rsidRDefault="00680BFD" w:rsidP="00CF3341">
      <w:r>
        <w:t xml:space="preserve">Civil </w:t>
      </w:r>
      <w:r w:rsidRPr="00745EAA">
        <w:t>PD (update no.167</w:t>
      </w:r>
      <w:r w:rsidR="00CA47BA">
        <w:t>, May 2024</w:t>
      </w:r>
      <w:r w:rsidRPr="00745EAA">
        <w:t xml:space="preserve">) </w:t>
      </w:r>
      <w:hyperlink r:id="rId87" w:tgtFrame="_blank" w:history="1">
        <w:r w:rsidRPr="00745EAA">
          <w:rPr>
            <w:rStyle w:val="Hyperlink"/>
          </w:rPr>
          <w:t>Civil – Civil Procedure Rules (justice.gov.uk)</w:t>
        </w:r>
      </w:hyperlink>
      <w:r w:rsidRPr="00745EAA">
        <w:t> </w:t>
      </w:r>
    </w:p>
    <w:p w14:paraId="216525DB" w14:textId="7DF68834" w:rsidR="00642B32" w:rsidRDefault="00642B32" w:rsidP="00CF3341">
      <w:r>
        <w:t>Information on how to apply in a county court</w:t>
      </w:r>
      <w:r w:rsidR="008B6BBA">
        <w:t xml:space="preserve"> is available at: </w:t>
      </w:r>
      <w:hyperlink r:id="rId88" w:history="1">
        <w:r w:rsidR="008B6BBA" w:rsidRPr="008B6BBA">
          <w:rPr>
            <w:rStyle w:val="Hyperlink"/>
          </w:rPr>
          <w:t>Apply for a domestic abuse protection order in a county court - GOV.UK</w:t>
        </w:r>
      </w:hyperlink>
      <w:r w:rsidR="008B6BBA">
        <w:t>.</w:t>
      </w:r>
    </w:p>
    <w:p w14:paraId="63A8157F" w14:textId="383BBDF4" w:rsidR="008A4321" w:rsidRPr="0068163C" w:rsidRDefault="008A4321" w:rsidP="00CF3341">
      <w:pPr>
        <w:rPr>
          <w:b/>
          <w:bCs/>
        </w:rPr>
      </w:pPr>
      <w:r w:rsidRPr="0068163C">
        <w:rPr>
          <w:b/>
          <w:bCs/>
        </w:rPr>
        <w:t>Magistrates</w:t>
      </w:r>
      <w:r w:rsidR="00DD65D8" w:rsidRPr="0068163C">
        <w:rPr>
          <w:b/>
          <w:bCs/>
        </w:rPr>
        <w:t xml:space="preserve"> / Crown Court </w:t>
      </w:r>
      <w:r w:rsidRPr="0068163C">
        <w:rPr>
          <w:b/>
          <w:bCs/>
        </w:rPr>
        <w:t>(civil</w:t>
      </w:r>
      <w:r w:rsidR="00DD65D8" w:rsidRPr="0068163C">
        <w:rPr>
          <w:b/>
          <w:bCs/>
        </w:rPr>
        <w:t xml:space="preserve"> proceedings</w:t>
      </w:r>
      <w:r w:rsidRPr="0068163C">
        <w:rPr>
          <w:b/>
          <w:bCs/>
        </w:rPr>
        <w:t>)</w:t>
      </w:r>
    </w:p>
    <w:p w14:paraId="4BE75D5C" w14:textId="05F144FC" w:rsidR="00847F1E" w:rsidRDefault="00FA45F1" w:rsidP="00CF3341">
      <w:r>
        <w:t xml:space="preserve">Amendments to the Magistrates’ and Crown Court Rules have been </w:t>
      </w:r>
      <w:r w:rsidR="00392E8E">
        <w:t>made, SIs are available at</w:t>
      </w:r>
      <w:r w:rsidR="00847F1E">
        <w:t>:</w:t>
      </w:r>
    </w:p>
    <w:p w14:paraId="45AD72AC" w14:textId="77777777" w:rsidR="008B3321" w:rsidRDefault="00847F1E" w:rsidP="00CF3341">
      <w:hyperlink r:id="rId89" w:history="1">
        <w:r>
          <w:rPr>
            <w:rStyle w:val="Hyperlink"/>
          </w:rPr>
          <w:t>The Magistrates’ Courts (Amendment) Rules 2024 (legislation.gov.uk)</w:t>
        </w:r>
      </w:hyperlink>
      <w:r w:rsidR="00392E8E">
        <w:t xml:space="preserve"> </w:t>
      </w:r>
    </w:p>
    <w:p w14:paraId="609DDA5C" w14:textId="11319F5B" w:rsidR="00FA45F1" w:rsidRDefault="008B3321" w:rsidP="00CF3341">
      <w:hyperlink r:id="rId90" w:history="1">
        <w:r>
          <w:rPr>
            <w:rStyle w:val="Hyperlink"/>
          </w:rPr>
          <w:t>The Crown Court (Amendment) Rules 2024 (legislation.gov.uk)</w:t>
        </w:r>
      </w:hyperlink>
    </w:p>
    <w:p w14:paraId="2D83F424" w14:textId="77777777" w:rsidR="00D43C65" w:rsidRDefault="00D43C65" w:rsidP="00CF3341">
      <w:pPr>
        <w:rPr>
          <w:b/>
          <w:bCs/>
        </w:rPr>
      </w:pPr>
    </w:p>
    <w:p w14:paraId="3483F916" w14:textId="1D7BB2B8" w:rsidR="00DD65D8" w:rsidRPr="00E20E98" w:rsidRDefault="00587807" w:rsidP="00CF3341">
      <w:pPr>
        <w:rPr>
          <w:b/>
          <w:bCs/>
        </w:rPr>
      </w:pPr>
      <w:r w:rsidRPr="00E20E98">
        <w:rPr>
          <w:b/>
          <w:bCs/>
        </w:rPr>
        <w:t>Crime</w:t>
      </w:r>
    </w:p>
    <w:p w14:paraId="5D3E50EC" w14:textId="77777777" w:rsidR="00C346E2" w:rsidRDefault="00587807" w:rsidP="00CF3341">
      <w:r>
        <w:t xml:space="preserve">Amendments to the Criminal Procedure Rules have been made and will come into force on pilot </w:t>
      </w:r>
      <w:r w:rsidR="00DD6B60">
        <w:t>commencement.</w:t>
      </w:r>
      <w:r w:rsidR="00440422">
        <w:t xml:space="preserve"> SI is available at</w:t>
      </w:r>
      <w:r w:rsidR="00C346E2">
        <w:t>:</w:t>
      </w:r>
    </w:p>
    <w:p w14:paraId="0F2D6096" w14:textId="541AAC9C" w:rsidR="00587807" w:rsidRDefault="003A4E4B" w:rsidP="00CF3341">
      <w:hyperlink r:id="rId91" w:history="1">
        <w:r>
          <w:rPr>
            <w:rStyle w:val="Hyperlink"/>
          </w:rPr>
          <w:t>The Criminal Procedure (Amendment No. 2) Rules 2022 (legislation.gov.uk)</w:t>
        </w:r>
      </w:hyperlink>
    </w:p>
    <w:p w14:paraId="31AB55F8" w14:textId="5AAA0A9C" w:rsidR="00DD6B60" w:rsidRPr="00E20E98" w:rsidRDefault="00DD6B60" w:rsidP="00CF3341">
      <w:pPr>
        <w:rPr>
          <w:b/>
          <w:bCs/>
        </w:rPr>
      </w:pPr>
      <w:r w:rsidRPr="00E20E98">
        <w:rPr>
          <w:b/>
          <w:bCs/>
        </w:rPr>
        <w:t>Other secondary legislation</w:t>
      </w:r>
    </w:p>
    <w:p w14:paraId="5523D353" w14:textId="100FEDF4" w:rsidR="003E0617" w:rsidRPr="00CF3341" w:rsidRDefault="00DD6B60" w:rsidP="00CF3341">
      <w:proofErr w:type="gramStart"/>
      <w:r>
        <w:t>A number of</w:t>
      </w:r>
      <w:proofErr w:type="gramEnd"/>
      <w:r>
        <w:t xml:space="preserve"> other </w:t>
      </w:r>
      <w:r w:rsidR="002F0E77">
        <w:t xml:space="preserve">smaller or consequential </w:t>
      </w:r>
      <w:r>
        <w:t>statutory instruments, necessary for the DAPO pilot</w:t>
      </w:r>
      <w:r w:rsidR="00646977">
        <w:t>,</w:t>
      </w:r>
      <w:r>
        <w:t xml:space="preserve"> </w:t>
      </w:r>
      <w:r w:rsidR="00A759E4">
        <w:t>have</w:t>
      </w:r>
      <w:r w:rsidR="00730CCC">
        <w:t xml:space="preserve"> also</w:t>
      </w:r>
      <w:r w:rsidR="00A759E4">
        <w:t xml:space="preserve"> been</w:t>
      </w:r>
      <w:r>
        <w:t xml:space="preserve"> </w:t>
      </w:r>
      <w:r w:rsidR="00E20E98">
        <w:t>made.</w:t>
      </w:r>
    </w:p>
    <w:p w14:paraId="3A1B107E" w14:textId="5A0831E8" w:rsidR="008E382B" w:rsidRDefault="008E382B" w:rsidP="00A64B31">
      <w:pPr>
        <w:pStyle w:val="Heading1briefing"/>
      </w:pPr>
      <w:bookmarkStart w:id="64" w:name="_Toc181202781"/>
      <w:r w:rsidRPr="004C79A1">
        <w:t xml:space="preserve">The </w:t>
      </w:r>
      <w:r w:rsidR="00D6475B">
        <w:t>p</w:t>
      </w:r>
      <w:r w:rsidRPr="004C79A1">
        <w:t>ilot</w:t>
      </w:r>
      <w:bookmarkEnd w:id="64"/>
    </w:p>
    <w:p w14:paraId="4391B535" w14:textId="31F8ED40" w:rsidR="00A64B31" w:rsidRDefault="00A64B31" w:rsidP="00A64B31">
      <w:pPr>
        <w:spacing w:after="0" w:line="240" w:lineRule="auto"/>
        <w:jc w:val="both"/>
      </w:pPr>
      <w:r>
        <w:t>DAPN</w:t>
      </w:r>
      <w:r w:rsidR="00D6475B">
        <w:t xml:space="preserve">s and </w:t>
      </w:r>
      <w:r>
        <w:t>DAPO</w:t>
      </w:r>
      <w:r w:rsidR="00D6475B">
        <w:t>s</w:t>
      </w:r>
      <w:r w:rsidRPr="002C74F6">
        <w:t xml:space="preserve"> </w:t>
      </w:r>
      <w:r w:rsidR="00264264">
        <w:t xml:space="preserve">were launched on 27 </w:t>
      </w:r>
      <w:r w:rsidR="00AD7069">
        <w:t>November</w:t>
      </w:r>
      <w:r w:rsidRPr="002C74F6">
        <w:t xml:space="preserve"> 2024</w:t>
      </w:r>
      <w:r>
        <w:t xml:space="preserve"> in two areas</w:t>
      </w:r>
      <w:r w:rsidRPr="00D21A0A">
        <w:t>,</w:t>
      </w:r>
      <w:r>
        <w:t xml:space="preserve"> namely </w:t>
      </w:r>
      <w:r w:rsidRPr="002C74F6">
        <w:t xml:space="preserve">three Boroughs in South London </w:t>
      </w:r>
      <w:r>
        <w:t xml:space="preserve">(Croydon, Sutton and Bromley) and Greater Manchester, as well as with the British Transport Police </w:t>
      </w:r>
      <w:r w:rsidRPr="00910C63">
        <w:t>(BTP)</w:t>
      </w:r>
      <w:r>
        <w:t xml:space="preserve">. </w:t>
      </w:r>
    </w:p>
    <w:p w14:paraId="47ED047A" w14:textId="77777777" w:rsidR="008B6BBA" w:rsidRDefault="008B6BBA" w:rsidP="00A64B31">
      <w:pPr>
        <w:spacing w:after="0" w:line="240" w:lineRule="auto"/>
        <w:jc w:val="both"/>
      </w:pPr>
    </w:p>
    <w:p w14:paraId="4465D55D" w14:textId="2B75834B" w:rsidR="002E5193" w:rsidRDefault="002E5193" w:rsidP="00A64B31">
      <w:pPr>
        <w:spacing w:after="0" w:line="240" w:lineRule="auto"/>
        <w:jc w:val="both"/>
      </w:pPr>
      <w:r>
        <w:t xml:space="preserve">The pilot </w:t>
      </w:r>
      <w:r w:rsidR="003F3E2F">
        <w:t>has</w:t>
      </w:r>
      <w:r w:rsidR="001270EA">
        <w:t xml:space="preserve"> since expanded</w:t>
      </w:r>
      <w:r>
        <w:t xml:space="preserve"> to two further sites – from 5 March 2025, to Cleveland, and </w:t>
      </w:r>
      <w:proofErr w:type="gramStart"/>
      <w:r>
        <w:t xml:space="preserve">from </w:t>
      </w:r>
      <w:r w:rsidR="001270EA">
        <w:t>28 April 2025</w:t>
      </w:r>
      <w:r>
        <w:t>,</w:t>
      </w:r>
      <w:proofErr w:type="gramEnd"/>
      <w:r>
        <w:t xml:space="preserve"> to North Wales.</w:t>
      </w:r>
    </w:p>
    <w:p w14:paraId="146F6A66" w14:textId="77777777" w:rsidR="005A2D6A" w:rsidRDefault="005A2D6A" w:rsidP="00A64B31">
      <w:pPr>
        <w:spacing w:after="0" w:line="240" w:lineRule="auto"/>
        <w:jc w:val="both"/>
      </w:pPr>
    </w:p>
    <w:p w14:paraId="3B54853F" w14:textId="52030790" w:rsidR="008E382B" w:rsidRPr="00454E03" w:rsidRDefault="004F3697" w:rsidP="00E148FF">
      <w:pPr>
        <w:pStyle w:val="Heading2"/>
        <w:rPr>
          <w:rFonts w:ascii="Arial" w:hAnsi="Arial" w:cs="Arial"/>
          <w:color w:val="7030A0"/>
          <w:sz w:val="28"/>
          <w:szCs w:val="28"/>
        </w:rPr>
      </w:pPr>
      <w:bookmarkStart w:id="65" w:name="_Toc181202782"/>
      <w:r>
        <w:rPr>
          <w:rFonts w:ascii="Arial" w:hAnsi="Arial" w:cs="Arial"/>
          <w:color w:val="7030A0"/>
          <w:sz w:val="28"/>
          <w:szCs w:val="28"/>
        </w:rPr>
        <w:t>Court fees</w:t>
      </w:r>
      <w:bookmarkEnd w:id="65"/>
    </w:p>
    <w:p w14:paraId="075579E7" w14:textId="3029A1F5" w:rsidR="004F3697" w:rsidRDefault="004F3697" w:rsidP="005A2D6A">
      <w:pPr>
        <w:spacing w:after="0" w:line="240" w:lineRule="auto"/>
        <w:jc w:val="both"/>
      </w:pPr>
      <w:r>
        <w:t>For the pilot, t</w:t>
      </w:r>
      <w:r w:rsidRPr="000A0559">
        <w:t xml:space="preserve">he </w:t>
      </w:r>
      <w:r>
        <w:t>G</w:t>
      </w:r>
      <w:r w:rsidRPr="000A0559">
        <w:t xml:space="preserve">overnment has committed to covering the cost of </w:t>
      </w:r>
      <w:r>
        <w:t>court</w:t>
      </w:r>
      <w:r w:rsidRPr="000A0559">
        <w:t xml:space="preserve"> fees incurred by the police for any DAPO applications made during the pilot. </w:t>
      </w:r>
      <w:r>
        <w:t xml:space="preserve">Application costs for victims will also be covered. </w:t>
      </w:r>
    </w:p>
    <w:p w14:paraId="284CF40A" w14:textId="77777777" w:rsidR="005A2D6A" w:rsidRDefault="005A2D6A" w:rsidP="005A2D6A">
      <w:pPr>
        <w:spacing w:after="0" w:line="240" w:lineRule="auto"/>
        <w:jc w:val="both"/>
      </w:pPr>
    </w:p>
    <w:p w14:paraId="18ED2A2E" w14:textId="13133B5B" w:rsidR="008E382B" w:rsidRPr="00454E03" w:rsidRDefault="008E382B" w:rsidP="00E148FF">
      <w:pPr>
        <w:pStyle w:val="Heading2"/>
        <w:rPr>
          <w:rFonts w:ascii="Arial" w:hAnsi="Arial" w:cs="Arial"/>
          <w:color w:val="7030A0"/>
          <w:sz w:val="28"/>
          <w:szCs w:val="28"/>
        </w:rPr>
      </w:pPr>
      <w:bookmarkStart w:id="66" w:name="_Toc181202783"/>
      <w:r w:rsidRPr="00454E03">
        <w:rPr>
          <w:rFonts w:ascii="Arial" w:hAnsi="Arial" w:cs="Arial"/>
          <w:color w:val="7030A0"/>
          <w:sz w:val="28"/>
          <w:szCs w:val="28"/>
        </w:rPr>
        <w:t xml:space="preserve">Pilot </w:t>
      </w:r>
      <w:r w:rsidR="00970740">
        <w:rPr>
          <w:rFonts w:ascii="Arial" w:hAnsi="Arial" w:cs="Arial"/>
          <w:color w:val="7030A0"/>
          <w:sz w:val="28"/>
          <w:szCs w:val="28"/>
        </w:rPr>
        <w:t>b</w:t>
      </w:r>
      <w:r w:rsidRPr="00454E03">
        <w:rPr>
          <w:rFonts w:ascii="Arial" w:hAnsi="Arial" w:cs="Arial"/>
          <w:color w:val="7030A0"/>
          <w:sz w:val="28"/>
          <w:szCs w:val="28"/>
        </w:rPr>
        <w:t>oundaries</w:t>
      </w:r>
      <w:bookmarkEnd w:id="66"/>
      <w:r w:rsidRPr="00454E03">
        <w:rPr>
          <w:rFonts w:ascii="Arial" w:hAnsi="Arial" w:cs="Arial"/>
          <w:color w:val="7030A0"/>
          <w:sz w:val="28"/>
          <w:szCs w:val="28"/>
        </w:rPr>
        <w:t xml:space="preserve"> </w:t>
      </w:r>
    </w:p>
    <w:p w14:paraId="5D77D757" w14:textId="591E3ACF" w:rsidR="008E382B" w:rsidRPr="008B4ACC" w:rsidRDefault="008E382B" w:rsidP="008E382B">
      <w:pPr>
        <w:jc w:val="both"/>
      </w:pPr>
      <w:r w:rsidRPr="008B4ACC">
        <w:t xml:space="preserve">Piloting </w:t>
      </w:r>
      <w:r>
        <w:t xml:space="preserve">the DAPO in specified areas requires us to define the ‘boundaries’ of the pilot. </w:t>
      </w:r>
    </w:p>
    <w:p w14:paraId="598CFA06" w14:textId="0A6A3CE3" w:rsidR="008E382B" w:rsidRPr="008B4ACC" w:rsidRDefault="008E382B" w:rsidP="008E382B">
      <w:pPr>
        <w:jc w:val="both"/>
      </w:pPr>
      <w:r w:rsidRPr="008B4ACC">
        <w:t>In summary, our</w:t>
      </w:r>
      <w:r>
        <w:t xml:space="preserve"> </w:t>
      </w:r>
      <w:r w:rsidRPr="008B4ACC">
        <w:t>positions are:</w:t>
      </w:r>
    </w:p>
    <w:p w14:paraId="643616D5" w14:textId="77777777" w:rsidR="008E382B" w:rsidRPr="00A447DA" w:rsidRDefault="008E382B" w:rsidP="00CD3F30">
      <w:pPr>
        <w:pStyle w:val="ListParagraph"/>
        <w:numPr>
          <w:ilvl w:val="0"/>
          <w:numId w:val="5"/>
        </w:numPr>
        <w:jc w:val="both"/>
        <w:rPr>
          <w:color w:val="FF0000"/>
        </w:rPr>
      </w:pPr>
      <w:r>
        <w:t>Perpetrators</w:t>
      </w:r>
      <w:r w:rsidRPr="001E66E2">
        <w:t xml:space="preserve"> must reside in the pilot area for </w:t>
      </w:r>
      <w:r>
        <w:t>an</w:t>
      </w:r>
      <w:r w:rsidRPr="001E66E2">
        <w:t xml:space="preserve"> application </w:t>
      </w:r>
      <w:r>
        <w:t xml:space="preserve">to be brought via any </w:t>
      </w:r>
      <w:r w:rsidRPr="001E66E2">
        <w:t>route (</w:t>
      </w:r>
      <w:r>
        <w:t xml:space="preserve">whether </w:t>
      </w:r>
      <w:r w:rsidRPr="001E66E2">
        <w:t>police-led applications, criminal ongoing proceedings, family</w:t>
      </w:r>
      <w:r>
        <w:t>,</w:t>
      </w:r>
      <w:r w:rsidRPr="001E66E2">
        <w:t xml:space="preserve"> and civil court applications)</w:t>
      </w:r>
      <w:r>
        <w:t>.</w:t>
      </w:r>
    </w:p>
    <w:p w14:paraId="4C026F76" w14:textId="77777777" w:rsidR="00B34FED" w:rsidRDefault="00097C6D" w:rsidP="00B34FED">
      <w:pPr>
        <w:pStyle w:val="ListParagraph"/>
        <w:numPr>
          <w:ilvl w:val="0"/>
          <w:numId w:val="5"/>
        </w:numPr>
        <w:jc w:val="both"/>
      </w:pPr>
      <w:r>
        <w:t>V</w:t>
      </w:r>
      <w:r w:rsidR="008E382B">
        <w:t xml:space="preserve">ictims can reside anywhere for any application route. </w:t>
      </w:r>
    </w:p>
    <w:p w14:paraId="26FE4500" w14:textId="28AE9121" w:rsidR="008E382B" w:rsidRPr="005249C9" w:rsidRDefault="008E382B" w:rsidP="00097C6D">
      <w:pPr>
        <w:jc w:val="both"/>
        <w:rPr>
          <w:b/>
          <w:bCs/>
          <w:u w:val="single"/>
        </w:rPr>
      </w:pPr>
      <w:r w:rsidRPr="005249C9">
        <w:rPr>
          <w:b/>
          <w:bCs/>
          <w:u w:val="single"/>
        </w:rPr>
        <w:t xml:space="preserve">Response to breach </w:t>
      </w:r>
    </w:p>
    <w:p w14:paraId="7E343D64" w14:textId="446709A6" w:rsidR="00C91CA7" w:rsidRDefault="008E382B" w:rsidP="001533EB">
      <w:pPr>
        <w:jc w:val="both"/>
      </w:pPr>
      <w:r w:rsidRPr="00241490">
        <w:t>All forces must respond to breach and all courts must deal with breach wherever it occurs</w:t>
      </w:r>
      <w:r w:rsidR="001533EB">
        <w:t>.</w:t>
      </w:r>
      <w:r w:rsidRPr="00241490">
        <w:t xml:space="preserve"> </w:t>
      </w:r>
    </w:p>
    <w:p w14:paraId="24C63844" w14:textId="194AC155" w:rsidR="008E382B" w:rsidRPr="005249C9" w:rsidRDefault="008E382B" w:rsidP="001533EB">
      <w:pPr>
        <w:jc w:val="both"/>
        <w:rPr>
          <w:b/>
          <w:bCs/>
          <w:u w:val="single"/>
        </w:rPr>
      </w:pPr>
      <w:r w:rsidRPr="005249C9">
        <w:rPr>
          <w:b/>
          <w:bCs/>
          <w:u w:val="single"/>
        </w:rPr>
        <w:t>Variations, discharge, and appeals</w:t>
      </w:r>
    </w:p>
    <w:p w14:paraId="6369604B" w14:textId="76459233" w:rsidR="008E382B" w:rsidRPr="00241490" w:rsidRDefault="008E382B" w:rsidP="00CD3F30">
      <w:pPr>
        <w:pStyle w:val="ListParagraph"/>
        <w:numPr>
          <w:ilvl w:val="0"/>
          <w:numId w:val="5"/>
        </w:numPr>
        <w:jc w:val="both"/>
      </w:pPr>
      <w:r w:rsidRPr="00241490">
        <w:t>Only piloting courts can hear</w:t>
      </w:r>
      <w:r w:rsidR="00463D88">
        <w:t xml:space="preserve"> applications to</w:t>
      </w:r>
      <w:r w:rsidRPr="00241490">
        <w:t xml:space="preserve"> var</w:t>
      </w:r>
      <w:r w:rsidR="00463D88">
        <w:t>y</w:t>
      </w:r>
      <w:r w:rsidRPr="00241490">
        <w:t xml:space="preserve"> </w:t>
      </w:r>
      <w:r w:rsidR="00463D88">
        <w:t>or</w:t>
      </w:r>
      <w:r w:rsidRPr="00241490">
        <w:t xml:space="preserve"> discharge. However, flexibility is needed for appeals, if the appeal must be heard by a higher court that is out of the pilot area.</w:t>
      </w:r>
    </w:p>
    <w:p w14:paraId="5CA0040C" w14:textId="77777777" w:rsidR="008E382B" w:rsidRPr="00944FDD" w:rsidRDefault="008E382B" w:rsidP="008E382B">
      <w:pPr>
        <w:jc w:val="both"/>
        <w:rPr>
          <w:b/>
          <w:bCs/>
          <w:u w:val="single"/>
        </w:rPr>
      </w:pPr>
      <w:r w:rsidRPr="00944FDD">
        <w:rPr>
          <w:b/>
          <w:bCs/>
          <w:u w:val="single"/>
        </w:rPr>
        <w:t>P</w:t>
      </w:r>
      <w:r>
        <w:rPr>
          <w:b/>
          <w:bCs/>
          <w:u w:val="single"/>
        </w:rPr>
        <w:t>erpetrator</w:t>
      </w:r>
      <w:r w:rsidRPr="00944FDD">
        <w:rPr>
          <w:b/>
          <w:bCs/>
          <w:u w:val="single"/>
        </w:rPr>
        <w:t xml:space="preserve"> changing address to outside of the pilot area when </w:t>
      </w:r>
      <w:r>
        <w:rPr>
          <w:b/>
          <w:bCs/>
          <w:u w:val="single"/>
        </w:rPr>
        <w:t xml:space="preserve">location </w:t>
      </w:r>
      <w:r w:rsidRPr="00944FDD">
        <w:rPr>
          <w:b/>
          <w:bCs/>
          <w:u w:val="single"/>
        </w:rPr>
        <w:t xml:space="preserve">specific provisions are attached e.g., electronic monitoring, perpetrator programme attendance, notification requirements </w:t>
      </w:r>
    </w:p>
    <w:p w14:paraId="07A8BC5D" w14:textId="77777777" w:rsidR="00131D1B" w:rsidRDefault="00131D1B" w:rsidP="00131D1B">
      <w:pPr>
        <w:pStyle w:val="ListParagraph"/>
        <w:numPr>
          <w:ilvl w:val="0"/>
          <w:numId w:val="5"/>
        </w:numPr>
        <w:jc w:val="both"/>
      </w:pPr>
      <w:r w:rsidRPr="002B1296">
        <w:lastRenderedPageBreak/>
        <w:t>Positive requirements (i.e. attendance onto a programme) – to remain in place if a person subject to the order can reasonably continue to attend. The ‘responsible person’ will report to police on continued attendance as part of compliance and non-compliance reporting.</w:t>
      </w:r>
    </w:p>
    <w:p w14:paraId="6F4EDFAC" w14:textId="77777777" w:rsidR="00131D1B" w:rsidRDefault="00131D1B" w:rsidP="00131D1B">
      <w:pPr>
        <w:pStyle w:val="ListParagraph"/>
        <w:numPr>
          <w:ilvl w:val="0"/>
          <w:numId w:val="5"/>
        </w:numPr>
        <w:jc w:val="both"/>
      </w:pPr>
      <w:r w:rsidRPr="002B1296">
        <w:t xml:space="preserve">Electronic </w:t>
      </w:r>
      <w:r>
        <w:t>m</w:t>
      </w:r>
      <w:r w:rsidRPr="002B1296">
        <w:t>onitoring</w:t>
      </w:r>
      <w:r>
        <w:t xml:space="preserve"> (EM)</w:t>
      </w:r>
      <w:r w:rsidRPr="002B1296">
        <w:t xml:space="preserve"> –</w:t>
      </w:r>
      <w:r>
        <w:t xml:space="preserve"> </w:t>
      </w:r>
      <w:r w:rsidRPr="002B1296">
        <w:t>a perpetrator must apply to vary the order to remove EM</w:t>
      </w:r>
      <w:r>
        <w:t xml:space="preserve"> if they move outside of a piloting area</w:t>
      </w:r>
      <w:r w:rsidRPr="002B1296">
        <w:t xml:space="preserve">. </w:t>
      </w:r>
    </w:p>
    <w:p w14:paraId="3FE7C9E9" w14:textId="77777777" w:rsidR="00131D1B" w:rsidRPr="000D062D" w:rsidRDefault="00131D1B" w:rsidP="00131D1B">
      <w:pPr>
        <w:pStyle w:val="ListParagraph"/>
        <w:numPr>
          <w:ilvl w:val="0"/>
          <w:numId w:val="5"/>
        </w:numPr>
        <w:jc w:val="both"/>
      </w:pPr>
      <w:r w:rsidRPr="000D062D">
        <w:t>Notification requirements – all forces</w:t>
      </w:r>
      <w:r>
        <w:t>,</w:t>
      </w:r>
      <w:r w:rsidRPr="000D062D">
        <w:t xml:space="preserve"> regardless of whether piloting or not</w:t>
      </w:r>
      <w:r>
        <w:t>,</w:t>
      </w:r>
      <w:r w:rsidRPr="000D062D">
        <w:t xml:space="preserve"> </w:t>
      </w:r>
      <w:r>
        <w:t>will</w:t>
      </w:r>
      <w:r w:rsidRPr="000D062D">
        <w:t xml:space="preserve"> be set up to handle notification requirements of name and address.</w:t>
      </w:r>
      <w:r>
        <w:t xml:space="preserve"> </w:t>
      </w:r>
    </w:p>
    <w:p w14:paraId="13C88380" w14:textId="77777777" w:rsidR="008E382B" w:rsidRPr="00944FDD" w:rsidRDefault="008E382B" w:rsidP="008E382B">
      <w:pPr>
        <w:jc w:val="both"/>
        <w:rPr>
          <w:u w:val="single"/>
        </w:rPr>
      </w:pPr>
      <w:r w:rsidRPr="00944FDD">
        <w:rPr>
          <w:b/>
          <w:bCs/>
          <w:u w:val="single"/>
        </w:rPr>
        <w:t>British Transport Police</w:t>
      </w:r>
    </w:p>
    <w:p w14:paraId="4B85E20B" w14:textId="49AF64D4" w:rsidR="00007875" w:rsidRDefault="00007875" w:rsidP="00007875">
      <w:pPr>
        <w:jc w:val="both"/>
      </w:pPr>
      <w:r w:rsidRPr="00B20BE3">
        <w:t xml:space="preserve">British Transport Police </w:t>
      </w:r>
      <w:r>
        <w:t xml:space="preserve">(BTP) </w:t>
      </w:r>
      <w:r w:rsidRPr="00B20BE3">
        <w:t xml:space="preserve">were given the power in the </w:t>
      </w:r>
      <w:r>
        <w:t>DA Act</w:t>
      </w:r>
      <w:r w:rsidRPr="00B20BE3">
        <w:t xml:space="preserve"> to apply for a</w:t>
      </w:r>
      <w:r>
        <w:t xml:space="preserve"> civil </w:t>
      </w:r>
      <w:r w:rsidRPr="00B20BE3">
        <w:t>order</w:t>
      </w:r>
      <w:r>
        <w:t xml:space="preserve"> directly</w:t>
      </w:r>
      <w:r w:rsidRPr="00B20BE3">
        <w:t xml:space="preserve"> for the first time. </w:t>
      </w:r>
      <w:r>
        <w:t xml:space="preserve">BTP </w:t>
      </w:r>
      <w:r w:rsidRPr="00B20BE3">
        <w:t xml:space="preserve">will </w:t>
      </w:r>
      <w:r w:rsidRPr="008B4ACC">
        <w:t xml:space="preserve">apply for </w:t>
      </w:r>
      <w:r>
        <w:t xml:space="preserve">a </w:t>
      </w:r>
      <w:r w:rsidRPr="008B4ACC">
        <w:t>DAPO in the piloting magistrates</w:t>
      </w:r>
      <w:r>
        <w:t>’</w:t>
      </w:r>
      <w:r w:rsidRPr="008B4ACC">
        <w:t xml:space="preserve"> court nearest to the location </w:t>
      </w:r>
      <w:r>
        <w:t>of the incident. The perpetrator</w:t>
      </w:r>
      <w:r w:rsidRPr="008B4ACC">
        <w:t xml:space="preserve"> will need to reside in a pilot area for BTP to apply for an order</w:t>
      </w:r>
      <w:r>
        <w:t xml:space="preserve"> and if a DAPO is imposed, it </w:t>
      </w:r>
      <w:r w:rsidRPr="008B4ACC">
        <w:t>will be managed by a Home Office</w:t>
      </w:r>
      <w:r>
        <w:t xml:space="preserve"> piloting</w:t>
      </w:r>
      <w:r w:rsidRPr="008B4ACC">
        <w:t xml:space="preserve"> force</w:t>
      </w:r>
      <w:r w:rsidRPr="00B20BE3">
        <w:t xml:space="preserve">. </w:t>
      </w:r>
    </w:p>
    <w:p w14:paraId="6202525E" w14:textId="67E2F7C9" w:rsidR="008E382B" w:rsidRPr="00454E03" w:rsidRDefault="008E382B" w:rsidP="00E148FF">
      <w:pPr>
        <w:pStyle w:val="Heading2"/>
        <w:rPr>
          <w:rFonts w:ascii="Arial" w:hAnsi="Arial" w:cs="Arial"/>
          <w:color w:val="7030A0"/>
          <w:sz w:val="28"/>
          <w:szCs w:val="28"/>
        </w:rPr>
      </w:pPr>
      <w:bookmarkStart w:id="67" w:name="_Toc181202784"/>
      <w:r w:rsidRPr="00454E03">
        <w:rPr>
          <w:rFonts w:ascii="Arial" w:hAnsi="Arial" w:cs="Arial"/>
          <w:color w:val="7030A0"/>
          <w:sz w:val="28"/>
          <w:szCs w:val="28"/>
        </w:rPr>
        <w:t xml:space="preserve">Information </w:t>
      </w:r>
      <w:r w:rsidR="008B0E38">
        <w:rPr>
          <w:rFonts w:ascii="Arial" w:hAnsi="Arial" w:cs="Arial"/>
          <w:color w:val="7030A0"/>
          <w:sz w:val="28"/>
          <w:szCs w:val="28"/>
        </w:rPr>
        <w:t>s</w:t>
      </w:r>
      <w:r w:rsidRPr="00454E03">
        <w:rPr>
          <w:rFonts w:ascii="Arial" w:hAnsi="Arial" w:cs="Arial"/>
          <w:color w:val="7030A0"/>
          <w:sz w:val="28"/>
          <w:szCs w:val="28"/>
        </w:rPr>
        <w:t>haring</w:t>
      </w:r>
      <w:r w:rsidR="008020A2">
        <w:rPr>
          <w:rFonts w:ascii="Arial" w:hAnsi="Arial" w:cs="Arial"/>
          <w:color w:val="7030A0"/>
          <w:sz w:val="28"/>
          <w:szCs w:val="28"/>
        </w:rPr>
        <w:t xml:space="preserve"> between the courts and the police</w:t>
      </w:r>
      <w:bookmarkEnd w:id="67"/>
    </w:p>
    <w:p w14:paraId="0E1ED8F0" w14:textId="774159CA" w:rsidR="008E382B" w:rsidRPr="00AB6A25" w:rsidRDefault="008E382B" w:rsidP="008E382B">
      <w:pPr>
        <w:spacing w:after="120"/>
        <w:jc w:val="both"/>
        <w:rPr>
          <w:color w:val="000000" w:themeColor="text1"/>
        </w:rPr>
      </w:pPr>
      <w:r w:rsidRPr="006B4C50">
        <w:t xml:space="preserve">To ensure piloting forces are notified of DAPOs made in family and civil </w:t>
      </w:r>
      <w:r w:rsidR="00A146C7">
        <w:t xml:space="preserve">(county) </w:t>
      </w:r>
      <w:r w:rsidRPr="006B4C50">
        <w:t>courts</w:t>
      </w:r>
      <w:r>
        <w:t>,</w:t>
      </w:r>
      <w:r w:rsidRPr="0096393B">
        <w:rPr>
          <w:color w:val="000000" w:themeColor="text1"/>
        </w:rPr>
        <w:t xml:space="preserve"> </w:t>
      </w:r>
      <w:r>
        <w:rPr>
          <w:color w:val="000000" w:themeColor="text1"/>
        </w:rPr>
        <w:t>a</w:t>
      </w:r>
      <w:r w:rsidRPr="0096393B">
        <w:rPr>
          <w:color w:val="000000" w:themeColor="text1"/>
        </w:rPr>
        <w:t xml:space="preserve"> mechanism will be established </w:t>
      </w:r>
      <w:r w:rsidRPr="0096393B">
        <w:rPr>
          <w:b/>
          <w:bCs/>
          <w:color w:val="000000" w:themeColor="text1"/>
        </w:rPr>
        <w:t>in line with the ‘early notification’ pilot for Non-Molestation Orders</w:t>
      </w:r>
      <w:r>
        <w:rPr>
          <w:b/>
          <w:bCs/>
          <w:color w:val="000000" w:themeColor="text1"/>
        </w:rPr>
        <w:t xml:space="preserve"> </w:t>
      </w:r>
      <w:r w:rsidRPr="00AB6A25">
        <w:rPr>
          <w:color w:val="000000" w:themeColor="text1"/>
        </w:rPr>
        <w:t>(Family PD 36ZA).</w:t>
      </w:r>
      <w:r w:rsidR="007B2CE4">
        <w:rPr>
          <w:color w:val="000000" w:themeColor="text1"/>
        </w:rPr>
        <w:t xml:space="preserve"> </w:t>
      </w:r>
    </w:p>
    <w:p w14:paraId="50751B2B" w14:textId="77777777" w:rsidR="008E382B" w:rsidRDefault="008E382B" w:rsidP="008E382B">
      <w:pPr>
        <w:spacing w:after="120"/>
        <w:jc w:val="both"/>
        <w:rPr>
          <w:color w:val="000000" w:themeColor="text1"/>
        </w:rPr>
      </w:pPr>
      <w:r>
        <w:rPr>
          <w:color w:val="000000" w:themeColor="text1"/>
        </w:rPr>
        <w:t>The process will work as follows:</w:t>
      </w:r>
    </w:p>
    <w:p w14:paraId="37A0325D" w14:textId="77777777" w:rsidR="008E382B" w:rsidRDefault="008E382B" w:rsidP="00CD3F30">
      <w:pPr>
        <w:pStyle w:val="ListParagraph"/>
        <w:numPr>
          <w:ilvl w:val="0"/>
          <w:numId w:val="8"/>
        </w:numPr>
        <w:spacing w:after="120"/>
        <w:jc w:val="both"/>
        <w:rPr>
          <w:color w:val="000000" w:themeColor="text1"/>
        </w:rPr>
      </w:pPr>
      <w:r w:rsidRPr="008B6847">
        <w:rPr>
          <w:b/>
          <w:color w:val="000000" w:themeColor="text1"/>
        </w:rPr>
        <w:t>Each piloting force will set up their own mailbox</w:t>
      </w:r>
      <w:r w:rsidRPr="008B6847">
        <w:rPr>
          <w:color w:val="000000" w:themeColor="text1"/>
        </w:rPr>
        <w:t xml:space="preserve">, where the family and civil courts will send an early notification to the police that a DAPO has been issued. This notification will be sent as soon as the order is made and before the respondent has been served. </w:t>
      </w:r>
    </w:p>
    <w:p w14:paraId="17B8E949" w14:textId="40C4E943" w:rsidR="008E382B" w:rsidRDefault="008E382B" w:rsidP="00CD3F30">
      <w:pPr>
        <w:pStyle w:val="ListParagraph"/>
        <w:numPr>
          <w:ilvl w:val="0"/>
          <w:numId w:val="8"/>
        </w:numPr>
        <w:spacing w:after="120"/>
        <w:jc w:val="both"/>
        <w:rPr>
          <w:color w:val="000000" w:themeColor="text1"/>
        </w:rPr>
      </w:pPr>
      <w:r w:rsidRPr="0063008E">
        <w:rPr>
          <w:color w:val="000000" w:themeColor="text1"/>
        </w:rPr>
        <w:t xml:space="preserve">The courts (or the solicitor if they were </w:t>
      </w:r>
      <w:proofErr w:type="gramStart"/>
      <w:r w:rsidR="00C564A9">
        <w:rPr>
          <w:color w:val="000000" w:themeColor="text1"/>
        </w:rPr>
        <w:t>e</w:t>
      </w:r>
      <w:r w:rsidRPr="0063008E">
        <w:rPr>
          <w:color w:val="000000" w:themeColor="text1"/>
        </w:rPr>
        <w:t>ffecting</w:t>
      </w:r>
      <w:proofErr w:type="gramEnd"/>
      <w:r w:rsidRPr="0063008E">
        <w:rPr>
          <w:color w:val="000000" w:themeColor="text1"/>
        </w:rPr>
        <w:t xml:space="preserve"> service) will then follow up with a </w:t>
      </w:r>
      <w:r w:rsidRPr="0063008E">
        <w:rPr>
          <w:b/>
          <w:color w:val="000000" w:themeColor="text1"/>
        </w:rPr>
        <w:t>secondary email confirming that the respondent has been served</w:t>
      </w:r>
      <w:r>
        <w:rPr>
          <w:color w:val="000000" w:themeColor="text1"/>
        </w:rPr>
        <w:t>.</w:t>
      </w:r>
      <w:r w:rsidRPr="0063008E">
        <w:rPr>
          <w:color w:val="000000" w:themeColor="text1"/>
        </w:rPr>
        <w:t xml:space="preserve"> </w:t>
      </w:r>
      <w:r>
        <w:rPr>
          <w:color w:val="000000" w:themeColor="text1"/>
        </w:rPr>
        <w:t>They will do so</w:t>
      </w:r>
      <w:r w:rsidRPr="0063008E">
        <w:rPr>
          <w:color w:val="000000" w:themeColor="text1"/>
        </w:rPr>
        <w:t xml:space="preserve"> by sending the police a copy of the proof of service. The same process will apply </w:t>
      </w:r>
      <w:r>
        <w:rPr>
          <w:color w:val="000000" w:themeColor="text1"/>
        </w:rPr>
        <w:t>in cases where</w:t>
      </w:r>
      <w:r w:rsidRPr="0063008E">
        <w:rPr>
          <w:color w:val="000000" w:themeColor="text1"/>
        </w:rPr>
        <w:t xml:space="preserve"> a DAPO is varied or discharged. </w:t>
      </w:r>
    </w:p>
    <w:p w14:paraId="2BDA64A5" w14:textId="10BDAF3B" w:rsidR="008E382B" w:rsidRPr="0063008E" w:rsidRDefault="008E382B" w:rsidP="00CD3F30">
      <w:pPr>
        <w:pStyle w:val="ListParagraph"/>
        <w:numPr>
          <w:ilvl w:val="0"/>
          <w:numId w:val="8"/>
        </w:numPr>
        <w:spacing w:after="120"/>
        <w:jc w:val="both"/>
        <w:rPr>
          <w:color w:val="000000" w:themeColor="text1"/>
        </w:rPr>
      </w:pPr>
      <w:r w:rsidRPr="0063008E">
        <w:rPr>
          <w:color w:val="000000" w:themeColor="text1"/>
        </w:rPr>
        <w:t xml:space="preserve">Police will be expected to update the PNC and PND accordingly. </w:t>
      </w:r>
    </w:p>
    <w:p w14:paraId="7453E096" w14:textId="77777777" w:rsidR="008E382B" w:rsidRPr="006176BC" w:rsidRDefault="008E382B" w:rsidP="008E382B">
      <w:pPr>
        <w:spacing w:after="120" w:line="240" w:lineRule="auto"/>
        <w:jc w:val="both"/>
        <w:rPr>
          <w:color w:val="000000" w:themeColor="text1"/>
        </w:rPr>
      </w:pPr>
    </w:p>
    <w:p w14:paraId="50DBC1BE" w14:textId="77777777" w:rsidR="008E382B" w:rsidRDefault="008E382B" w:rsidP="008E382B">
      <w:pPr>
        <w:spacing w:after="120" w:line="240" w:lineRule="auto"/>
        <w:jc w:val="both"/>
        <w:rPr>
          <w:rStyle w:val="normaltextrun"/>
          <w:color w:val="000000" w:themeColor="text1"/>
        </w:rPr>
      </w:pPr>
      <w:r w:rsidRPr="00131FA5">
        <w:rPr>
          <w:noProof/>
          <w:color w:val="000000" w:themeColor="text1"/>
        </w:rPr>
        <w:drawing>
          <wp:inline distT="0" distB="0" distL="0" distR="0" wp14:anchorId="023B9CED" wp14:editId="3B78895A">
            <wp:extent cx="5969967" cy="2035159"/>
            <wp:effectExtent l="0" t="0" r="0" b="3810"/>
            <wp:docPr id="16" name="Picture 16">
              <a:extLst xmlns:a="http://schemas.openxmlformats.org/drawingml/2006/main">
                <a:ext uri="{FF2B5EF4-FFF2-40B4-BE49-F238E27FC236}">
                  <a16:creationId xmlns:a16="http://schemas.microsoft.com/office/drawing/2014/main" id="{F6AB1528-E3B9-A43E-C8D1-8964B0D4117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FF2B5EF4-FFF2-40B4-BE49-F238E27FC236}">
                          <a16:creationId xmlns:a16="http://schemas.microsoft.com/office/drawing/2014/main" id="{F6AB1528-E3B9-A43E-C8D1-8964B0D4117F}"/>
                        </a:ext>
                        <a:ext uri="{C183D7F6-B498-43B3-948B-1728B52AA6E4}">
                          <adec:decorative xmlns:adec="http://schemas.microsoft.com/office/drawing/2017/decorative" val="1"/>
                        </a:ext>
                      </a:extLst>
                    </pic:cNvPr>
                    <pic:cNvPicPr>
                      <a:picLocks noChangeAspect="1"/>
                    </pic:cNvPicPr>
                  </pic:nvPicPr>
                  <pic:blipFill>
                    <a:blip r:embed="rId92"/>
                    <a:stretch>
                      <a:fillRect/>
                    </a:stretch>
                  </pic:blipFill>
                  <pic:spPr>
                    <a:xfrm>
                      <a:off x="0" y="0"/>
                      <a:ext cx="6031494" cy="2056133"/>
                    </a:xfrm>
                    <a:prstGeom prst="rect">
                      <a:avLst/>
                    </a:prstGeom>
                  </pic:spPr>
                </pic:pic>
              </a:graphicData>
            </a:graphic>
          </wp:inline>
        </w:drawing>
      </w:r>
    </w:p>
    <w:p w14:paraId="19A47B8E" w14:textId="51FD9705" w:rsidR="008E382B" w:rsidRDefault="009258AC" w:rsidP="005249C9">
      <w:pPr>
        <w:spacing w:after="120"/>
        <w:jc w:val="both"/>
        <w:rPr>
          <w:rStyle w:val="normaltextrun"/>
          <w:color w:val="000000" w:themeColor="text1"/>
        </w:rPr>
      </w:pPr>
      <w:r>
        <w:rPr>
          <w:color w:val="000000" w:themeColor="text1"/>
        </w:rPr>
        <w:lastRenderedPageBreak/>
        <w:t>For DAPOs made in criminal courts</w:t>
      </w:r>
      <w:r w:rsidR="008F20D7">
        <w:rPr>
          <w:color w:val="000000" w:themeColor="text1"/>
        </w:rPr>
        <w:t xml:space="preserve"> (police-led applications and DAPOs made within criminal proceedings</w:t>
      </w:r>
      <w:r w:rsidR="00AE291E">
        <w:rPr>
          <w:color w:val="000000" w:themeColor="text1"/>
        </w:rPr>
        <w:t>, either on con</w:t>
      </w:r>
      <w:r w:rsidR="006C7BFC">
        <w:rPr>
          <w:color w:val="000000" w:themeColor="text1"/>
        </w:rPr>
        <w:t>viction or acquittal</w:t>
      </w:r>
      <w:r w:rsidR="008F20D7">
        <w:rPr>
          <w:color w:val="000000" w:themeColor="text1"/>
        </w:rPr>
        <w:t>)</w:t>
      </w:r>
      <w:r>
        <w:rPr>
          <w:color w:val="000000" w:themeColor="text1"/>
        </w:rPr>
        <w:t>, an established process in use in that jurisdiction will be followed.</w:t>
      </w:r>
    </w:p>
    <w:p w14:paraId="45A74AE7" w14:textId="7703E8D0" w:rsidR="008020A2" w:rsidRDefault="008E382B" w:rsidP="001619FE">
      <w:pPr>
        <w:spacing w:after="120" w:line="240" w:lineRule="auto"/>
        <w:jc w:val="both"/>
        <w:rPr>
          <w:rStyle w:val="normaltextrun"/>
          <w:color w:val="000000"/>
          <w:shd w:val="clear" w:color="auto" w:fill="FFFFFF"/>
        </w:rPr>
      </w:pPr>
      <w:r>
        <w:rPr>
          <w:rStyle w:val="normaltextrun"/>
          <w:color w:val="000000"/>
          <w:shd w:val="clear" w:color="auto" w:fill="FFFFFF"/>
        </w:rPr>
        <w:t>Please note th</w:t>
      </w:r>
      <w:r w:rsidR="002A0699">
        <w:rPr>
          <w:rStyle w:val="normaltextrun"/>
          <w:color w:val="000000"/>
          <w:shd w:val="clear" w:color="auto" w:fill="FFFFFF"/>
        </w:rPr>
        <w:t>is is</w:t>
      </w:r>
      <w:r>
        <w:rPr>
          <w:rStyle w:val="normaltextrun"/>
          <w:color w:val="000000"/>
          <w:shd w:val="clear" w:color="auto" w:fill="FFFFFF"/>
        </w:rPr>
        <w:t xml:space="preserve"> also</w:t>
      </w:r>
      <w:r w:rsidRPr="006B4C50">
        <w:rPr>
          <w:rStyle w:val="normaltextrun"/>
          <w:color w:val="000000"/>
          <w:shd w:val="clear" w:color="auto" w:fill="FFFFFF"/>
        </w:rPr>
        <w:t xml:space="preserve"> linked in with wider cross-governmental work to review the way protective orders are managed and recorded and will review the approach for DAPOs if </w:t>
      </w:r>
      <w:r>
        <w:rPr>
          <w:rStyle w:val="normaltextrun"/>
          <w:color w:val="000000"/>
          <w:shd w:val="clear" w:color="auto" w:fill="FFFFFF"/>
        </w:rPr>
        <w:t xml:space="preserve">a change in process is deemed necessary </w:t>
      </w:r>
      <w:r w:rsidR="00197B4B">
        <w:rPr>
          <w:rStyle w:val="normaltextrun"/>
          <w:color w:val="000000"/>
          <w:shd w:val="clear" w:color="auto" w:fill="FFFFFF"/>
        </w:rPr>
        <w:t>on</w:t>
      </w:r>
      <w:r>
        <w:rPr>
          <w:rStyle w:val="normaltextrun"/>
          <w:color w:val="000000"/>
          <w:shd w:val="clear" w:color="auto" w:fill="FFFFFF"/>
        </w:rPr>
        <w:t xml:space="preserve"> a wider scale.</w:t>
      </w:r>
    </w:p>
    <w:p w14:paraId="43DE80A8" w14:textId="4606AAAE" w:rsidR="00EF1BD8" w:rsidRPr="001619FE" w:rsidRDefault="00EF1BD8" w:rsidP="001619FE">
      <w:pPr>
        <w:spacing w:after="120" w:line="240" w:lineRule="auto"/>
        <w:jc w:val="both"/>
        <w:rPr>
          <w:rFonts w:eastAsiaTheme="majorEastAsia"/>
          <w:color w:val="7030A0"/>
          <w:sz w:val="36"/>
          <w:szCs w:val="36"/>
        </w:rPr>
      </w:pPr>
      <w:r w:rsidRPr="001619FE">
        <w:rPr>
          <w:rFonts w:eastAsiaTheme="majorEastAsia"/>
          <w:color w:val="7030A0"/>
          <w:sz w:val="36"/>
          <w:szCs w:val="36"/>
        </w:rPr>
        <w:t>Key Contacts</w:t>
      </w:r>
    </w:p>
    <w:tbl>
      <w:tblPr>
        <w:tblpPr w:leftFromText="180" w:rightFromText="180" w:vertAnchor="text" w:horzAnchor="margin" w:tblpY="236"/>
        <w:tblW w:w="7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7"/>
      </w:tblGrid>
      <w:tr w:rsidR="00B352F9" w:rsidRPr="00BD3559" w14:paraId="2876F064" w14:textId="77777777" w:rsidTr="00611D5E">
        <w:trPr>
          <w:trHeight w:val="315"/>
        </w:trPr>
        <w:tc>
          <w:tcPr>
            <w:tcW w:w="7647" w:type="dxa"/>
            <w:tcBorders>
              <w:top w:val="single" w:sz="6" w:space="0" w:color="auto"/>
              <w:left w:val="single" w:sz="6" w:space="0" w:color="auto"/>
              <w:bottom w:val="single" w:sz="6" w:space="0" w:color="auto"/>
              <w:right w:val="single" w:sz="6" w:space="0" w:color="auto"/>
            </w:tcBorders>
            <w:shd w:val="clear" w:color="auto" w:fill="B889DB"/>
            <w:hideMark/>
          </w:tcPr>
          <w:p w14:paraId="50500259" w14:textId="77777777" w:rsidR="00B352F9" w:rsidRPr="00BD3559" w:rsidRDefault="00B352F9" w:rsidP="00B352F9">
            <w:pPr>
              <w:spacing w:after="0" w:line="240" w:lineRule="auto"/>
              <w:jc w:val="both"/>
              <w:textAlignment w:val="baseline"/>
              <w:rPr>
                <w:rFonts w:eastAsia="Times New Roman"/>
                <w:lang w:eastAsia="en-GB"/>
              </w:rPr>
            </w:pPr>
            <w:r w:rsidRPr="00BD3559">
              <w:rPr>
                <w:rFonts w:eastAsia="Times New Roman"/>
                <w:b/>
                <w:bCs/>
                <w:lang w:eastAsia="en-GB"/>
              </w:rPr>
              <w:t>Ministry of Justice</w:t>
            </w:r>
            <w:r w:rsidRPr="00BD3559">
              <w:rPr>
                <w:rFonts w:eastAsia="Times New Roman"/>
                <w:lang w:eastAsia="en-GB"/>
              </w:rPr>
              <w:t> </w:t>
            </w:r>
          </w:p>
        </w:tc>
      </w:tr>
      <w:tr w:rsidR="00B352F9" w:rsidRPr="00BD3559" w14:paraId="4CC8671F" w14:textId="77777777" w:rsidTr="00611D5E">
        <w:trPr>
          <w:trHeight w:val="315"/>
        </w:trPr>
        <w:tc>
          <w:tcPr>
            <w:tcW w:w="7647" w:type="dxa"/>
            <w:tcBorders>
              <w:top w:val="single" w:sz="6" w:space="0" w:color="auto"/>
              <w:left w:val="single" w:sz="6" w:space="0" w:color="auto"/>
              <w:bottom w:val="single" w:sz="6" w:space="0" w:color="auto"/>
              <w:right w:val="single" w:sz="6" w:space="0" w:color="auto"/>
            </w:tcBorders>
            <w:shd w:val="clear" w:color="auto" w:fill="E2C5FF"/>
          </w:tcPr>
          <w:p w14:paraId="25E14BC8" w14:textId="4186BC65" w:rsidR="00B352F9" w:rsidRDefault="00B352F9" w:rsidP="00B352F9">
            <w:pPr>
              <w:spacing w:after="0" w:line="240" w:lineRule="auto"/>
              <w:jc w:val="both"/>
              <w:textAlignment w:val="baseline"/>
              <w:rPr>
                <w:rStyle w:val="Hyperlink"/>
                <w:rFonts w:eastAsia="Times New Roman"/>
                <w:lang w:eastAsia="en-GB"/>
              </w:rPr>
            </w:pPr>
          </w:p>
          <w:p w14:paraId="401FDFEC" w14:textId="77777777" w:rsidR="00F6247C" w:rsidRPr="00611D5E" w:rsidRDefault="008904F2" w:rsidP="00611D5E">
            <w:pPr>
              <w:spacing w:after="0" w:line="240" w:lineRule="auto"/>
              <w:jc w:val="both"/>
              <w:textAlignment w:val="baseline"/>
              <w:rPr>
                <w:rStyle w:val="Hyperlink"/>
                <w:rFonts w:eastAsia="Times New Roman"/>
                <w:color w:val="auto"/>
                <w:u w:val="none"/>
                <w:lang w:eastAsia="en-GB"/>
              </w:rPr>
            </w:pPr>
            <w:r w:rsidRPr="00611D5E">
              <w:rPr>
                <w:rStyle w:val="Hyperlink"/>
                <w:rFonts w:eastAsia="Times New Roman"/>
                <w:color w:val="auto"/>
                <w:u w:val="none"/>
                <w:lang w:eastAsia="en-GB"/>
              </w:rPr>
              <w:t>Please direct all enquiries to a shared mailbox</w:t>
            </w:r>
            <w:r w:rsidR="007227CD" w:rsidRPr="00611D5E">
              <w:rPr>
                <w:rStyle w:val="Hyperlink"/>
                <w:rFonts w:eastAsia="Times New Roman"/>
                <w:color w:val="auto"/>
                <w:u w:val="none"/>
                <w:lang w:eastAsia="en-GB"/>
              </w:rPr>
              <w:t>.</w:t>
            </w:r>
          </w:p>
          <w:p w14:paraId="0EE0F865" w14:textId="37ADA8A8" w:rsidR="001D0EF7" w:rsidRPr="00611D5E" w:rsidRDefault="008904F2" w:rsidP="00611D5E">
            <w:pPr>
              <w:spacing w:after="0" w:line="240" w:lineRule="auto"/>
              <w:jc w:val="both"/>
              <w:textAlignment w:val="baseline"/>
              <w:rPr>
                <w:rStyle w:val="Hyperlink"/>
                <w:rFonts w:eastAsia="Times New Roman"/>
                <w:color w:val="auto"/>
                <w:u w:val="none"/>
                <w:lang w:eastAsia="en-GB"/>
              </w:rPr>
            </w:pPr>
            <w:r w:rsidRPr="00611D5E">
              <w:rPr>
                <w:rStyle w:val="Hyperlink"/>
                <w:rFonts w:eastAsia="Times New Roman"/>
                <w:color w:val="auto"/>
                <w:u w:val="none"/>
                <w:lang w:eastAsia="en-GB"/>
              </w:rPr>
              <w:t>The mailbox will be monitored by the</w:t>
            </w:r>
            <w:r w:rsidR="00F6247C" w:rsidRPr="00611D5E">
              <w:rPr>
                <w:rStyle w:val="Hyperlink"/>
                <w:rFonts w:eastAsia="Times New Roman"/>
                <w:color w:val="auto"/>
                <w:u w:val="none"/>
                <w:lang w:eastAsia="en-GB"/>
              </w:rPr>
              <w:t xml:space="preserve"> Ministry of Justice</w:t>
            </w:r>
            <w:r w:rsidRPr="00611D5E">
              <w:rPr>
                <w:rStyle w:val="Hyperlink"/>
                <w:rFonts w:eastAsia="Times New Roman"/>
                <w:color w:val="auto"/>
                <w:u w:val="none"/>
                <w:lang w:eastAsia="en-GB"/>
              </w:rPr>
              <w:t xml:space="preserve"> DAPO team:</w:t>
            </w:r>
          </w:p>
          <w:p w14:paraId="6D3FE2B7" w14:textId="77777777" w:rsidR="007227CD" w:rsidRPr="007227CD" w:rsidRDefault="007227CD" w:rsidP="00B352F9">
            <w:pPr>
              <w:spacing w:after="0" w:line="240" w:lineRule="auto"/>
              <w:jc w:val="both"/>
              <w:textAlignment w:val="baseline"/>
              <w:rPr>
                <w:rStyle w:val="Hyperlink"/>
                <w:rFonts w:eastAsia="Times New Roman"/>
                <w:color w:val="auto"/>
                <w:u w:val="none"/>
                <w:lang w:eastAsia="en-GB"/>
              </w:rPr>
            </w:pPr>
          </w:p>
          <w:p w14:paraId="568B897A" w14:textId="438C1423" w:rsidR="008904F2" w:rsidRPr="00611D5E" w:rsidRDefault="00F6247C" w:rsidP="00F6247C">
            <w:pPr>
              <w:pStyle w:val="ListParagraph"/>
              <w:numPr>
                <w:ilvl w:val="0"/>
                <w:numId w:val="48"/>
              </w:numPr>
              <w:spacing w:after="0" w:line="240" w:lineRule="auto"/>
              <w:jc w:val="both"/>
              <w:textAlignment w:val="baseline"/>
              <w:rPr>
                <w:rFonts w:eastAsia="Times New Roman"/>
                <w:u w:val="single"/>
                <w:lang w:eastAsia="en-GB"/>
              </w:rPr>
            </w:pPr>
            <w:hyperlink r:id="rId93" w:history="1">
              <w:r w:rsidRPr="00611D5E">
                <w:rPr>
                  <w:rStyle w:val="Hyperlink"/>
                  <w:rFonts w:eastAsia="Times New Roman"/>
                  <w:lang w:eastAsia="en-GB"/>
                </w:rPr>
                <w:t>dapopilot@justice.gov.uk</w:t>
              </w:r>
            </w:hyperlink>
          </w:p>
          <w:p w14:paraId="13D77C4E" w14:textId="5948BD1B" w:rsidR="00F6247C" w:rsidRPr="00BD3559" w:rsidRDefault="00F6247C" w:rsidP="00B352F9">
            <w:pPr>
              <w:spacing w:after="0" w:line="240" w:lineRule="auto"/>
              <w:jc w:val="both"/>
              <w:textAlignment w:val="baseline"/>
              <w:rPr>
                <w:rFonts w:eastAsia="Times New Roman"/>
                <w:lang w:eastAsia="en-GB"/>
              </w:rPr>
            </w:pPr>
          </w:p>
        </w:tc>
      </w:tr>
    </w:tbl>
    <w:p w14:paraId="3DCA6985" w14:textId="77777777" w:rsidR="00DE15D0" w:rsidRDefault="00DE15D0" w:rsidP="00E879CB">
      <w:pPr>
        <w:pStyle w:val="ListNumber"/>
        <w:numPr>
          <w:ilvl w:val="0"/>
          <w:numId w:val="0"/>
        </w:numPr>
        <w:jc w:val="both"/>
      </w:pPr>
    </w:p>
    <w:p w14:paraId="6D00735E" w14:textId="77777777" w:rsidR="003E0617" w:rsidRDefault="003E0617" w:rsidP="00E879CB">
      <w:pPr>
        <w:pStyle w:val="ListNumber"/>
        <w:numPr>
          <w:ilvl w:val="0"/>
          <w:numId w:val="0"/>
        </w:numPr>
        <w:jc w:val="both"/>
      </w:pPr>
    </w:p>
    <w:p w14:paraId="19D78BF7" w14:textId="77777777" w:rsidR="003E0617" w:rsidRDefault="003E0617" w:rsidP="00E879CB">
      <w:pPr>
        <w:pStyle w:val="ListNumber"/>
        <w:numPr>
          <w:ilvl w:val="0"/>
          <w:numId w:val="0"/>
        </w:numPr>
        <w:jc w:val="both"/>
      </w:pPr>
    </w:p>
    <w:p w14:paraId="488567A7" w14:textId="77777777" w:rsidR="003E0617" w:rsidRDefault="003E0617" w:rsidP="00E879CB">
      <w:pPr>
        <w:pStyle w:val="ListNumber"/>
        <w:numPr>
          <w:ilvl w:val="0"/>
          <w:numId w:val="0"/>
        </w:numPr>
        <w:jc w:val="both"/>
      </w:pPr>
    </w:p>
    <w:p w14:paraId="30FC12E4" w14:textId="77777777" w:rsidR="003E0617" w:rsidRDefault="003E0617" w:rsidP="00E879CB">
      <w:pPr>
        <w:pStyle w:val="ListNumber"/>
        <w:numPr>
          <w:ilvl w:val="0"/>
          <w:numId w:val="0"/>
        </w:numPr>
        <w:jc w:val="both"/>
      </w:pPr>
    </w:p>
    <w:p w14:paraId="74375278" w14:textId="77777777" w:rsidR="003E0617" w:rsidRDefault="003E0617" w:rsidP="00E879CB">
      <w:pPr>
        <w:pStyle w:val="ListNumber"/>
        <w:numPr>
          <w:ilvl w:val="0"/>
          <w:numId w:val="0"/>
        </w:numPr>
        <w:jc w:val="both"/>
      </w:pPr>
    </w:p>
    <w:p w14:paraId="56E55DCD" w14:textId="77777777" w:rsidR="003E0617" w:rsidRDefault="003E0617" w:rsidP="00E879CB">
      <w:pPr>
        <w:pStyle w:val="ListNumber"/>
        <w:numPr>
          <w:ilvl w:val="0"/>
          <w:numId w:val="0"/>
        </w:numPr>
        <w:jc w:val="both"/>
      </w:pPr>
    </w:p>
    <w:p w14:paraId="0661F647" w14:textId="77777777" w:rsidR="00591EEC" w:rsidRDefault="00591EEC" w:rsidP="00C91CA7">
      <w:pPr>
        <w:jc w:val="both"/>
      </w:pPr>
    </w:p>
    <w:sectPr w:rsidR="00591EEC" w:rsidSect="00EF1C95">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ED24" w14:textId="77777777" w:rsidR="00C57FB4" w:rsidRDefault="00C57FB4" w:rsidP="006B4C50">
      <w:pPr>
        <w:spacing w:after="0" w:line="240" w:lineRule="auto"/>
      </w:pPr>
      <w:r>
        <w:separator/>
      </w:r>
    </w:p>
  </w:endnote>
  <w:endnote w:type="continuationSeparator" w:id="0">
    <w:p w14:paraId="16A080DF" w14:textId="77777777" w:rsidR="00C57FB4" w:rsidRDefault="00C57FB4" w:rsidP="006B4C50">
      <w:pPr>
        <w:spacing w:after="0" w:line="240" w:lineRule="auto"/>
      </w:pPr>
      <w:r>
        <w:continuationSeparator/>
      </w:r>
    </w:p>
  </w:endnote>
  <w:endnote w:type="continuationNotice" w:id="1">
    <w:p w14:paraId="1485C258" w14:textId="77777777" w:rsidR="00C57FB4" w:rsidRDefault="00C57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5F66" w14:textId="6A1F5622" w:rsidR="00E20517" w:rsidRDefault="00E20517">
    <w:pPr>
      <w:pStyle w:val="Footer"/>
    </w:pPr>
    <w:r>
      <w:rPr>
        <w:noProof/>
      </w:rPr>
      <mc:AlternateContent>
        <mc:Choice Requires="wps">
          <w:drawing>
            <wp:anchor distT="0" distB="0" distL="0" distR="0" simplePos="0" relativeHeight="251658244" behindDoc="0" locked="0" layoutInCell="1" allowOverlap="1" wp14:anchorId="4F3841A6" wp14:editId="3C3B5B57">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473CD" w14:textId="279B62AE"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F3841A6">
              <v:stroke joinstyle="miter"/>
              <v:path gradientshapeok="t" o:connecttype="rect"/>
            </v:shapetype>
            <v:shape id="Text Box 13"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5249C9" w:rsidR="00E20517" w:rsidP="005249C9" w:rsidRDefault="00E20517" w14:paraId="4CC473CD" w14:textId="279B62AE">
                    <w:pPr>
                      <w:spacing w:after="0"/>
                      <w:rPr>
                        <w:rFonts w:ascii="Calibri" w:hAnsi="Calibri" w:eastAsia="Calibri" w:cs="Calibri"/>
                        <w:noProof/>
                        <w:color w:val="000000"/>
                      </w:rPr>
                    </w:pPr>
                    <w:r w:rsidRPr="005249C9">
                      <w:rPr>
                        <w:rFonts w:ascii="Calibri" w:hAnsi="Calibri" w:eastAsia="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5B70" w14:textId="2ACF7105" w:rsidR="00E86932" w:rsidRPr="00E86932" w:rsidRDefault="00E20517">
    <w:pPr>
      <w:pStyle w:val="Footer"/>
      <w:jc w:val="right"/>
    </w:pPr>
    <w:r>
      <w:rPr>
        <w:noProof/>
      </w:rPr>
      <mc:AlternateContent>
        <mc:Choice Requires="wps">
          <w:drawing>
            <wp:anchor distT="0" distB="0" distL="0" distR="0" simplePos="0" relativeHeight="251658245" behindDoc="0" locked="0" layoutInCell="1" allowOverlap="1" wp14:anchorId="732FA381" wp14:editId="05A09223">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1945F" w14:textId="28E5A082"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732FA381">
              <v:stroke joinstyle="miter"/>
              <v:path gradientshapeok="t" o:connecttype="rect"/>
            </v:shapetype>
            <v:shape id="Text Box 14"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5249C9" w:rsidR="00E20517" w:rsidP="005249C9" w:rsidRDefault="00E20517" w14:paraId="0241945F" w14:textId="28E5A082">
                    <w:pPr>
                      <w:spacing w:after="0"/>
                      <w:rPr>
                        <w:rFonts w:ascii="Calibri" w:hAnsi="Calibri" w:eastAsia="Calibri" w:cs="Calibri"/>
                        <w:noProof/>
                        <w:color w:val="000000"/>
                      </w:rPr>
                    </w:pPr>
                    <w:r w:rsidRPr="005249C9">
                      <w:rPr>
                        <w:rFonts w:ascii="Calibri" w:hAnsi="Calibri" w:eastAsia="Calibri" w:cs="Calibri"/>
                        <w:noProof/>
                        <w:color w:val="000000"/>
                      </w:rPr>
                      <w:t>OFFICIAL</w:t>
                    </w:r>
                  </w:p>
                </w:txbxContent>
              </v:textbox>
              <w10:wrap anchorx="page" anchory="page"/>
            </v:shape>
          </w:pict>
        </mc:Fallback>
      </mc:AlternateContent>
    </w:r>
  </w:p>
  <w:p w14:paraId="0A45777C" w14:textId="77777777" w:rsidR="00E86932" w:rsidRPr="00E86932" w:rsidRDefault="00E86932">
    <w:pPr>
      <w:pStyle w:val="Footer"/>
      <w:jc w:val="right"/>
    </w:pPr>
    <w:r w:rsidRPr="00E86932">
      <w:fldChar w:fldCharType="begin"/>
    </w:r>
    <w:r w:rsidRPr="00E86932">
      <w:instrText xml:space="preserve"> PAGE   \* MERGEFORMAT </w:instrText>
    </w:r>
    <w:r w:rsidRPr="00E86932">
      <w:fldChar w:fldCharType="separate"/>
    </w:r>
    <w:r w:rsidRPr="00E86932">
      <w:rPr>
        <w:noProof/>
      </w:rPr>
      <w:t>2</w:t>
    </w:r>
    <w:r w:rsidRPr="00E86932">
      <w:rPr>
        <w:noProof/>
      </w:rPr>
      <w:fldChar w:fldCharType="end"/>
    </w:r>
  </w:p>
  <w:p w14:paraId="45EDEF5E" w14:textId="77777777" w:rsidR="00E86932" w:rsidRDefault="00E86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6E0E" w14:textId="622230E8" w:rsidR="00E20517" w:rsidRDefault="00E20517">
    <w:pPr>
      <w:pStyle w:val="Footer"/>
    </w:pPr>
    <w:r>
      <w:rPr>
        <w:noProof/>
      </w:rPr>
      <mc:AlternateContent>
        <mc:Choice Requires="wps">
          <w:drawing>
            <wp:anchor distT="0" distB="0" distL="0" distR="0" simplePos="0" relativeHeight="251658243" behindDoc="0" locked="0" layoutInCell="1" allowOverlap="1" wp14:anchorId="54BB3023" wp14:editId="2C329239">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FF644" w14:textId="0C57408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54BB3023">
              <v:stroke joinstyle="miter"/>
              <v:path gradientshapeok="t" o:connecttype="rect"/>
            </v:shapetype>
            <v:shape id="Text Box 12"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5249C9" w:rsidR="00E20517" w:rsidP="005249C9" w:rsidRDefault="00E20517" w14:paraId="11BFF644" w14:textId="0C574089">
                    <w:pPr>
                      <w:spacing w:after="0"/>
                      <w:rPr>
                        <w:rFonts w:ascii="Calibri" w:hAnsi="Calibri" w:eastAsia="Calibri" w:cs="Calibri"/>
                        <w:noProof/>
                        <w:color w:val="000000"/>
                      </w:rPr>
                    </w:pPr>
                    <w:r w:rsidRPr="005249C9">
                      <w:rPr>
                        <w:rFonts w:ascii="Calibri" w:hAnsi="Calibri" w:eastAsia="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C092" w14:textId="77777777" w:rsidR="00C57FB4" w:rsidRDefault="00C57FB4" w:rsidP="006B4C50">
      <w:pPr>
        <w:spacing w:after="0" w:line="240" w:lineRule="auto"/>
      </w:pPr>
      <w:r>
        <w:separator/>
      </w:r>
    </w:p>
  </w:footnote>
  <w:footnote w:type="continuationSeparator" w:id="0">
    <w:p w14:paraId="4CF98A99" w14:textId="77777777" w:rsidR="00C57FB4" w:rsidRDefault="00C57FB4" w:rsidP="006B4C50">
      <w:pPr>
        <w:spacing w:after="0" w:line="240" w:lineRule="auto"/>
      </w:pPr>
      <w:r>
        <w:continuationSeparator/>
      </w:r>
    </w:p>
  </w:footnote>
  <w:footnote w:type="continuationNotice" w:id="1">
    <w:p w14:paraId="6798245A" w14:textId="77777777" w:rsidR="00C57FB4" w:rsidRDefault="00C57FB4">
      <w:pPr>
        <w:spacing w:after="0" w:line="240" w:lineRule="auto"/>
      </w:pPr>
    </w:p>
  </w:footnote>
  <w:footnote w:id="2">
    <w:p w14:paraId="7C92E210" w14:textId="5B41B316" w:rsidR="006B4C50" w:rsidRPr="00197B4B" w:rsidRDefault="006B4C50" w:rsidP="009E6FB5">
      <w:pPr>
        <w:pStyle w:val="Submissionnumberedparagraph"/>
        <w:widowControl w:val="0"/>
        <w:numPr>
          <w:ilvl w:val="0"/>
          <w:numId w:val="0"/>
        </w:numPr>
        <w:spacing w:after="160" w:line="240" w:lineRule="auto"/>
        <w:ind w:left="360"/>
        <w:rPr>
          <w:rFonts w:cs="Arial"/>
          <w:iCs/>
          <w:sz w:val="20"/>
          <w:szCs w:val="20"/>
        </w:rPr>
      </w:pPr>
      <w:r w:rsidRPr="00197B4B">
        <w:rPr>
          <w:rStyle w:val="FootnoteReference"/>
          <w:rFonts w:eastAsia="Calibri" w:cs="Arial"/>
          <w:sz w:val="20"/>
          <w:szCs w:val="20"/>
        </w:rPr>
        <w:footnoteRef/>
      </w:r>
      <w:r w:rsidRPr="00197B4B">
        <w:rPr>
          <w:rFonts w:cs="Arial"/>
          <w:sz w:val="20"/>
          <w:szCs w:val="20"/>
        </w:rPr>
        <w:t xml:space="preserve">  </w:t>
      </w:r>
      <w:r w:rsidR="0025782F" w:rsidRPr="007859F9">
        <w:rPr>
          <w:rStyle w:val="Hyperlink"/>
          <w:rFonts w:eastAsia="Calibri" w:cs="Arial"/>
          <w:iCs/>
          <w:sz w:val="20"/>
          <w:szCs w:val="20"/>
        </w:rPr>
        <w:t xml:space="preserve"> </w:t>
      </w:r>
      <w:hyperlink r:id="rId1" w:history="1">
        <w:r w:rsidR="000B4613" w:rsidRPr="007859F9">
          <w:rPr>
            <w:rStyle w:val="Hyperlink"/>
            <w:rFonts w:eastAsia="Calibri" w:cs="Arial"/>
            <w:iCs/>
            <w:sz w:val="20"/>
            <w:szCs w:val="20"/>
          </w:rPr>
          <w:t>https://www.legislation.gov.uk/ukpga/2021/17/contents/enacted</w:t>
        </w:r>
      </w:hyperlink>
      <w:r w:rsidR="000B4613" w:rsidRPr="007859F9">
        <w:rPr>
          <w:rStyle w:val="Hyperlink"/>
          <w:rFonts w:eastAsia="Calibri" w:cs="Arial"/>
          <w:iCs/>
          <w:sz w:val="20"/>
          <w:szCs w:val="20"/>
        </w:rPr>
        <w:t xml:space="preserve"> </w:t>
      </w:r>
    </w:p>
  </w:footnote>
  <w:footnote w:id="3">
    <w:p w14:paraId="76947AE8" w14:textId="6E334872" w:rsidR="000B4613" w:rsidRPr="00197B4B" w:rsidRDefault="000B4613">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hyperlink r:id="rId2" w:history="1">
        <w:r w:rsidRPr="007859F9">
          <w:rPr>
            <w:rStyle w:val="Hyperlink"/>
            <w:rFonts w:eastAsia="Times New Roman" w:cs="Arial"/>
            <w:sz w:val="20"/>
          </w:rPr>
          <w:t>The Domestic Abuse Protection Orders (County Court: Relevant Proceedings) Regulations 2024 (legislation.gov.uk)</w:t>
        </w:r>
      </w:hyperlink>
    </w:p>
  </w:footnote>
  <w:footnote w:id="4">
    <w:p w14:paraId="2A351F55" w14:textId="77777777" w:rsidR="0069056B" w:rsidRPr="004C07F7" w:rsidRDefault="0069056B" w:rsidP="0069056B">
      <w:pPr>
        <w:pStyle w:val="Default"/>
        <w:rPr>
          <w:sz w:val="20"/>
          <w:szCs w:val="20"/>
        </w:rPr>
      </w:pPr>
      <w:r w:rsidRPr="004C07F7">
        <w:rPr>
          <w:rStyle w:val="FootnoteReference"/>
          <w:sz w:val="20"/>
          <w:szCs w:val="20"/>
        </w:rPr>
        <w:footnoteRef/>
      </w:r>
      <w:r w:rsidRPr="004C07F7">
        <w:rPr>
          <w:sz w:val="20"/>
          <w:szCs w:val="20"/>
        </w:rPr>
        <w:t xml:space="preserve"> </w:t>
      </w:r>
      <w:r>
        <w:rPr>
          <w:sz w:val="20"/>
          <w:szCs w:val="20"/>
        </w:rPr>
        <w:t xml:space="preserve">DAPOs are innovative multi-jurisdictional civil orders that can be made in existing criminal proceedings as well as family and some civil proceedings alike. This means that there are a range of different legal services which could be applicable to different parties for breach of a DAPN and for DAPOs. As part of the preparatory work for the pilot, and during the pilot itself, the Ministry of Justice and the Legal Aid Agency will continue to monitor and review the existing legislation and operational implications underpinning publicly funded legal services for DAPNs and DAPOs. </w:t>
      </w:r>
      <w:r w:rsidRPr="004C07F7">
        <w:rPr>
          <w:sz w:val="20"/>
          <w:szCs w:val="20"/>
        </w:rPr>
        <w:t xml:space="preserve"> </w:t>
      </w:r>
    </w:p>
  </w:footnote>
  <w:footnote w:id="5">
    <w:p w14:paraId="5335D5D7"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3" w:history="1">
        <w:r w:rsidRPr="03D6D85C">
          <w:rPr>
            <w:rStyle w:val="Hyperlink"/>
            <w:rFonts w:cs="Arial"/>
          </w:rPr>
          <w:t>https://www.gov.uk/government/news/dapn-and-dapo-contract-changes</w:t>
        </w:r>
      </w:hyperlink>
    </w:p>
  </w:footnote>
  <w:footnote w:id="6">
    <w:p w14:paraId="53597C4F"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4" w:history="1">
        <w:r w:rsidRPr="03D6D85C">
          <w:rPr>
            <w:rStyle w:val="Hyperlink"/>
            <w:rFonts w:cs="Arial"/>
          </w:rPr>
          <w:t>Draft_DAPO_Pilot_Scheme_Specification__Section_19_.pdf</w:t>
        </w:r>
      </w:hyperlink>
    </w:p>
  </w:footnote>
  <w:footnote w:id="7">
    <w:p w14:paraId="2B02CF6C"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5" w:history="1">
        <w:r w:rsidRPr="03D6D85C">
          <w:rPr>
            <w:rStyle w:val="Hyperlink"/>
            <w:rFonts w:cs="Arial"/>
          </w:rPr>
          <w:t>Standard Crime Contract 2022 - GOV.UK</w:t>
        </w:r>
      </w:hyperlink>
    </w:p>
  </w:footnote>
  <w:footnote w:id="8">
    <w:p w14:paraId="589E0A68" w14:textId="239647BC" w:rsidR="00AC3A48" w:rsidRPr="00197B4B" w:rsidRDefault="00AC3A48" w:rsidP="00AC3A48">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hyperlink r:id="rId6" w:history="1">
        <w:r w:rsidRPr="00197B4B">
          <w:rPr>
            <w:rStyle w:val="Hyperlink"/>
            <w:rFonts w:cs="Arial"/>
            <w:sz w:val="20"/>
          </w:rPr>
          <w:t>Section 2 of the DA Act</w:t>
        </w:r>
      </w:hyperlink>
      <w:r w:rsidRPr="00197B4B">
        <w:rPr>
          <w:rStyle w:val="Hyperlink"/>
          <w:rFonts w:cs="Arial"/>
          <w:sz w:val="20"/>
        </w:rPr>
        <w:t xml:space="preserve"> </w:t>
      </w:r>
      <w:r w:rsidRPr="00197B4B">
        <w:rPr>
          <w:rFonts w:ascii="Arial" w:hAnsi="Arial" w:cs="Arial"/>
        </w:rPr>
        <w:t>defines the term ‘personally connected’ as two people who</w:t>
      </w:r>
      <w:r w:rsidR="00BC7C45" w:rsidRPr="00197B4B">
        <w:rPr>
          <w:rFonts w:ascii="Arial" w:hAnsi="Arial" w:cs="Arial"/>
        </w:rPr>
        <w:t>:</w:t>
      </w:r>
      <w:r w:rsidRPr="00197B4B">
        <w:rPr>
          <w:rFonts w:ascii="Arial" w:hAnsi="Arial" w:cs="Arial"/>
        </w:rPr>
        <w:t xml:space="preserve"> (1) are, or have been, married to each other, (2) are, or have been, civil partners of each other, (3) have agreed to marry one another (regardless of whether the agreement has since been terminated), </w:t>
      </w:r>
      <w:r w:rsidR="00434953" w:rsidRPr="00197B4B">
        <w:rPr>
          <w:rFonts w:ascii="Arial" w:hAnsi="Arial" w:cs="Arial"/>
        </w:rPr>
        <w:t>(4) they have entered into a civil partnership agreement (whether or not the agreement has been terminated)</w:t>
      </w:r>
      <w:r w:rsidR="006733BF" w:rsidRPr="00197B4B">
        <w:rPr>
          <w:rFonts w:ascii="Arial" w:hAnsi="Arial" w:cs="Arial"/>
        </w:rPr>
        <w:t>,</w:t>
      </w:r>
      <w:r w:rsidR="00434953" w:rsidRPr="00197B4B">
        <w:rPr>
          <w:rFonts w:ascii="Arial" w:hAnsi="Arial" w:cs="Arial"/>
        </w:rPr>
        <w:t xml:space="preserve"> </w:t>
      </w:r>
      <w:r w:rsidRPr="00197B4B">
        <w:rPr>
          <w:rFonts w:ascii="Arial" w:hAnsi="Arial" w:cs="Arial"/>
        </w:rPr>
        <w:t>(</w:t>
      </w:r>
      <w:r w:rsidR="00434953" w:rsidRPr="00197B4B">
        <w:rPr>
          <w:rFonts w:ascii="Arial" w:hAnsi="Arial" w:cs="Arial"/>
        </w:rPr>
        <w:t>5</w:t>
      </w:r>
      <w:r w:rsidRPr="00197B4B">
        <w:rPr>
          <w:rFonts w:ascii="Arial" w:hAnsi="Arial" w:cs="Arial"/>
        </w:rPr>
        <w:t>) are, or have been, in an intimate personal relationship with each other, (</w:t>
      </w:r>
      <w:r w:rsidR="00434953" w:rsidRPr="00197B4B">
        <w:rPr>
          <w:rFonts w:ascii="Arial" w:hAnsi="Arial" w:cs="Arial"/>
        </w:rPr>
        <w:t>6</w:t>
      </w:r>
      <w:r w:rsidRPr="00197B4B">
        <w:rPr>
          <w:rFonts w:ascii="Arial" w:hAnsi="Arial" w:cs="Arial"/>
        </w:rPr>
        <w:t>) have, or there has been a time when they each have had, a parental relationship in relation to the same child, (</w:t>
      </w:r>
      <w:r w:rsidR="00434953" w:rsidRPr="00197B4B">
        <w:rPr>
          <w:rFonts w:ascii="Arial" w:hAnsi="Arial" w:cs="Arial"/>
        </w:rPr>
        <w:t>7</w:t>
      </w:r>
      <w:r w:rsidRPr="00197B4B">
        <w:rPr>
          <w:rFonts w:ascii="Arial" w:hAnsi="Arial" w:cs="Arial"/>
        </w:rPr>
        <w:t>) are relatives.</w:t>
      </w:r>
    </w:p>
  </w:footnote>
  <w:footnote w:id="9">
    <w:p w14:paraId="357702B5" w14:textId="77777777" w:rsidR="00DD1F27" w:rsidRPr="00197B4B" w:rsidRDefault="00DD1F27" w:rsidP="00DD1F27">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The Drive Partnership will operate the triage team during the pilot. The Drive Partnership is a partnership between Respect, Safelives and Social Finance, dedicated to improving response to perpetrators of domestic abuse.</w:t>
      </w:r>
    </w:p>
  </w:footnote>
  <w:footnote w:id="10">
    <w:p w14:paraId="5911BE53" w14:textId="70997DFA" w:rsidR="003C2580" w:rsidRPr="00197B4B" w:rsidRDefault="003C2580">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r w:rsidR="003B6A2A" w:rsidRPr="00197B4B">
        <w:rPr>
          <w:rFonts w:ascii="Arial" w:hAnsi="Arial" w:cs="Arial"/>
        </w:rPr>
        <w:t xml:space="preserve">The provider is Serco Limited, as specified in regulations: </w:t>
      </w:r>
      <w:hyperlink r:id="rId7" w:history="1">
        <w:r w:rsidR="00E6004C" w:rsidRPr="007567B1">
          <w:rPr>
            <w:rStyle w:val="Hyperlink"/>
            <w:rFonts w:cs="Arial"/>
            <w:sz w:val="20"/>
          </w:rPr>
          <w:t>https://www.legislation.gov.uk/uksi/2024/340/made</w:t>
        </w:r>
      </w:hyperlink>
      <w:r w:rsidR="00E6004C">
        <w:rPr>
          <w:rFonts w:ascii="Arial" w:hAnsi="Arial" w:cs="Arial"/>
        </w:rPr>
        <w:t xml:space="preserve"> </w:t>
      </w:r>
    </w:p>
  </w:footnote>
  <w:footnote w:id="11">
    <w:p w14:paraId="0CED111D" w14:textId="77777777" w:rsidR="00527F6A" w:rsidRPr="00197B4B" w:rsidRDefault="00527F6A" w:rsidP="00527F6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Further information on variation and discharge of a DAPO is provided at section 8 (“Variation or discharge of a DAPO”).</w:t>
      </w:r>
    </w:p>
  </w:footnote>
  <w:footnote w:id="12">
    <w:p w14:paraId="328BFAAE" w14:textId="4DD7F6EA" w:rsidR="002D2CCA" w:rsidRPr="00197B4B" w:rsidRDefault="002D2CC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r w:rsidRPr="00197B4B">
        <w:rPr>
          <w:rStyle w:val="cf01"/>
          <w:rFonts w:ascii="Arial" w:hAnsi="Arial" w:cs="Arial"/>
          <w:sz w:val="20"/>
          <w:szCs w:val="20"/>
        </w:rPr>
        <w:t>In magistrates’ courts (for police led applications only), the perpetrator must attend the hearing in person. In family and county courts and for DAPOs in ongoing criminal proceedings in magistrates’ or crown courts, the perpetrator can attend via video link. This is a decision for the court.</w:t>
      </w:r>
    </w:p>
  </w:footnote>
  <w:footnote w:id="13">
    <w:p w14:paraId="7DB64BBD" w14:textId="77777777" w:rsidR="00527F6A" w:rsidRPr="00197B4B" w:rsidRDefault="00527F6A" w:rsidP="00527F6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Section 29 of the DA Act 2021 provides that the court may make a DAPO of its own initiative during other family, criminal or civil proceedings. Further information on the other routes to obtaining a DAPO is provided at Annex A (“Other routes to obtaining a DAPO”).</w:t>
      </w:r>
    </w:p>
  </w:footnote>
  <w:footnote w:id="14">
    <w:p w14:paraId="03E19B58" w14:textId="4756FDA9" w:rsidR="00373ED8" w:rsidRPr="00197B4B" w:rsidRDefault="00373ED8" w:rsidP="00373ED8">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The DA Act 2021 does not explicitly set out that the victim may appeal a decision of the court relating to a DAPO made of the court’s own </w:t>
      </w:r>
      <w:r w:rsidR="0055376B" w:rsidRPr="00197B4B">
        <w:rPr>
          <w:rFonts w:ascii="Arial" w:hAnsi="Arial" w:cs="Arial"/>
        </w:rPr>
        <w:t xml:space="preserve">motion </w:t>
      </w:r>
      <w:r w:rsidRPr="00197B4B">
        <w:rPr>
          <w:rFonts w:ascii="Arial" w:hAnsi="Arial" w:cs="Arial"/>
        </w:rPr>
        <w:t xml:space="preserve">under </w:t>
      </w:r>
      <w:hyperlink r:id="rId8" w:history="1">
        <w:r w:rsidRPr="00197B4B">
          <w:rPr>
            <w:rStyle w:val="Hyperlink"/>
            <w:rFonts w:cs="Arial"/>
            <w:sz w:val="20"/>
          </w:rPr>
          <w:t>Section 31</w:t>
        </w:r>
      </w:hyperlink>
      <w:r w:rsidRPr="00197B4B">
        <w:rPr>
          <w:rFonts w:ascii="Arial" w:hAnsi="Arial" w:cs="Arial"/>
        </w:rPr>
        <w:t xml:space="preserve"> because this is a general right of appeal which is already available to the victim by virtue of other legislation, such as that listed at </w:t>
      </w:r>
      <w:hyperlink r:id="rId9" w:history="1">
        <w:r w:rsidRPr="00197B4B">
          <w:rPr>
            <w:rStyle w:val="Hyperlink"/>
            <w:rFonts w:cs="Arial"/>
            <w:sz w:val="20"/>
          </w:rPr>
          <w:t>Section 46(9)</w:t>
        </w:r>
      </w:hyperlink>
      <w:r w:rsidRPr="00197B4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2CE5" w14:textId="3CAA3C2F" w:rsidR="00E20517" w:rsidRDefault="00E20517">
    <w:pPr>
      <w:pStyle w:val="Header"/>
    </w:pPr>
    <w:r>
      <w:rPr>
        <w:noProof/>
      </w:rPr>
      <mc:AlternateContent>
        <mc:Choice Requires="wps">
          <w:drawing>
            <wp:anchor distT="0" distB="0" distL="0" distR="0" simplePos="0" relativeHeight="251658241" behindDoc="0" locked="0" layoutInCell="1" allowOverlap="1" wp14:anchorId="69D39A82" wp14:editId="426E2444">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2D3B2" w14:textId="76C01838"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9D39A82">
              <v:stroke joinstyle="miter"/>
              <v:path gradientshapeok="t" o:connecttype="rect"/>
            </v:shapetype>
            <v:shape id="Text Box 7"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5249C9" w:rsidR="00E20517" w:rsidP="005249C9" w:rsidRDefault="00E20517" w14:paraId="3842D3B2" w14:textId="76C01838">
                    <w:pPr>
                      <w:spacing w:after="0"/>
                      <w:rPr>
                        <w:rFonts w:ascii="Calibri" w:hAnsi="Calibri" w:eastAsia="Calibri" w:cs="Calibri"/>
                        <w:noProof/>
                        <w:color w:val="000000"/>
                      </w:rPr>
                    </w:pPr>
                    <w:r w:rsidRPr="005249C9">
                      <w:rPr>
                        <w:rFonts w:ascii="Calibri" w:hAnsi="Calibri" w:eastAsia="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AD47" w14:textId="52853868" w:rsidR="00E20517" w:rsidRDefault="00E20517">
    <w:pPr>
      <w:pStyle w:val="Header"/>
    </w:pPr>
    <w:r>
      <w:rPr>
        <w:noProof/>
      </w:rPr>
      <mc:AlternateContent>
        <mc:Choice Requires="wps">
          <w:drawing>
            <wp:anchor distT="0" distB="0" distL="0" distR="0" simplePos="0" relativeHeight="251658242" behindDoc="0" locked="0" layoutInCell="1" allowOverlap="1" wp14:anchorId="5BD1CCB7" wp14:editId="35664CD8">
              <wp:simplePos x="635" y="635"/>
              <wp:positionH relativeFrom="page">
                <wp:align>center</wp:align>
              </wp:positionH>
              <wp:positionV relativeFrom="page">
                <wp:align>top</wp:align>
              </wp:positionV>
              <wp:extent cx="443865" cy="44386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CA77E" w14:textId="6C02759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5BD1CCB7">
              <v:stroke joinstyle="miter"/>
              <v:path gradientshapeok="t" o:connecttype="rect"/>
            </v:shapetype>
            <v:shape id="Text Box 8"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5249C9" w:rsidR="00E20517" w:rsidP="005249C9" w:rsidRDefault="00E20517" w14:paraId="618CA77E" w14:textId="6C027599">
                    <w:pPr>
                      <w:spacing w:after="0"/>
                      <w:rPr>
                        <w:rFonts w:ascii="Calibri" w:hAnsi="Calibri" w:eastAsia="Calibri" w:cs="Calibri"/>
                        <w:noProof/>
                        <w:color w:val="000000"/>
                      </w:rPr>
                    </w:pPr>
                    <w:r w:rsidRPr="005249C9">
                      <w:rPr>
                        <w:rFonts w:ascii="Calibri" w:hAnsi="Calibri" w:eastAsia="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5C25" w14:textId="639113B1" w:rsidR="00E20517" w:rsidRDefault="00E20517">
    <w:pPr>
      <w:pStyle w:val="Header"/>
    </w:pPr>
    <w:r>
      <w:rPr>
        <w:noProof/>
      </w:rPr>
      <mc:AlternateContent>
        <mc:Choice Requires="wps">
          <w:drawing>
            <wp:anchor distT="0" distB="0" distL="0" distR="0" simplePos="0" relativeHeight="251658240" behindDoc="0" locked="0" layoutInCell="1" allowOverlap="1" wp14:anchorId="4FAD4797" wp14:editId="11E2D2C6">
              <wp:simplePos x="635" y="635"/>
              <wp:positionH relativeFrom="page">
                <wp:align>center</wp:align>
              </wp:positionH>
              <wp:positionV relativeFrom="page">
                <wp:align>top</wp:align>
              </wp:positionV>
              <wp:extent cx="443865" cy="44386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9A086" w14:textId="62AFEB4D"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FAD4797">
              <v:stroke joinstyle="miter"/>
              <v:path gradientshapeok="t" o:connecttype="rect"/>
            </v:shapetype>
            <v:shape id="Text Box 6"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5249C9" w:rsidR="00E20517" w:rsidP="005249C9" w:rsidRDefault="00E20517" w14:paraId="2A99A086" w14:textId="62AFEB4D">
                    <w:pPr>
                      <w:spacing w:after="0"/>
                      <w:rPr>
                        <w:rFonts w:ascii="Calibri" w:hAnsi="Calibri" w:eastAsia="Calibri" w:cs="Calibri"/>
                        <w:noProof/>
                        <w:color w:val="000000"/>
                      </w:rPr>
                    </w:pPr>
                    <w:r w:rsidRPr="005249C9">
                      <w:rPr>
                        <w:rFonts w:ascii="Calibri" w:hAnsi="Calibri" w:eastAsia="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068F84C"/>
    <w:lvl w:ilvl="0">
      <w:start w:val="1"/>
      <w:numFmt w:val="decimal"/>
      <w:pStyle w:val="ListNumber"/>
      <w:lvlText w:val="%1."/>
      <w:lvlJc w:val="left"/>
      <w:pPr>
        <w:tabs>
          <w:tab w:val="num" w:pos="454"/>
        </w:tabs>
        <w:ind w:left="454" w:hanging="454"/>
      </w:pPr>
    </w:lvl>
  </w:abstractNum>
  <w:abstractNum w:abstractNumId="1" w15:restartNumberingAfterBreak="0">
    <w:nsid w:val="FFFFFF89"/>
    <w:multiLevelType w:val="singleLevel"/>
    <w:tmpl w:val="19B473A6"/>
    <w:lvl w:ilvl="0">
      <w:start w:val="1"/>
      <w:numFmt w:val="bullet"/>
      <w:pStyle w:val="ListBullet"/>
      <w:lvlText w:val=""/>
      <w:lvlJc w:val="left"/>
      <w:pPr>
        <w:tabs>
          <w:tab w:val="num" w:pos="454"/>
        </w:tabs>
        <w:ind w:left="454" w:hanging="454"/>
      </w:pPr>
      <w:rPr>
        <w:rFonts w:ascii="Symbol" w:hAnsi="Symbol" w:hint="default"/>
      </w:rPr>
    </w:lvl>
  </w:abstractNum>
  <w:abstractNum w:abstractNumId="2" w15:restartNumberingAfterBreak="0">
    <w:nsid w:val="02534B50"/>
    <w:multiLevelType w:val="hybridMultilevel"/>
    <w:tmpl w:val="A1EE9F36"/>
    <w:lvl w:ilvl="0" w:tplc="08090017">
      <w:start w:val="1"/>
      <w:numFmt w:val="lowerLetter"/>
      <w:lvlText w:val="%1)"/>
      <w:lvlJc w:val="left"/>
      <w:pPr>
        <w:ind w:left="450" w:hanging="360"/>
      </w:pPr>
      <w:rPr>
        <w:rFonts w:hint="default"/>
      </w:rPr>
    </w:lvl>
    <w:lvl w:ilvl="1" w:tplc="FFFFFFFF">
      <w:start w:val="1"/>
      <w:numFmt w:val="bullet"/>
      <w:lvlText w:val="o"/>
      <w:lvlJc w:val="left"/>
      <w:pPr>
        <w:ind w:left="1170" w:hanging="360"/>
      </w:pPr>
      <w:rPr>
        <w:rFonts w:ascii="Courier New" w:hAnsi="Courier New" w:cs="Courier New" w:hint="default"/>
      </w:rPr>
    </w:lvl>
    <w:lvl w:ilvl="2" w:tplc="FFFFFFFF">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 w15:restartNumberingAfterBreak="0">
    <w:nsid w:val="02581CEA"/>
    <w:multiLevelType w:val="hybridMultilevel"/>
    <w:tmpl w:val="8CF6246A"/>
    <w:lvl w:ilvl="0" w:tplc="08090017">
      <w:start w:val="1"/>
      <w:numFmt w:val="lowerLetter"/>
      <w:lvlText w:val="%1)"/>
      <w:lvlJc w:val="left"/>
      <w:pPr>
        <w:tabs>
          <w:tab w:val="num" w:pos="1523"/>
        </w:tabs>
        <w:ind w:left="1523" w:hanging="454"/>
      </w:pPr>
      <w:rPr>
        <w:rFonts w:hint="default"/>
        <w:color w:val="auto"/>
      </w:rPr>
    </w:lvl>
    <w:lvl w:ilvl="1" w:tplc="FFFFFFFF">
      <w:start w:val="1"/>
      <w:numFmt w:val="bullet"/>
      <w:lvlText w:val="o"/>
      <w:lvlJc w:val="left"/>
      <w:pPr>
        <w:tabs>
          <w:tab w:val="num" w:pos="2509"/>
        </w:tabs>
        <w:ind w:left="2509" w:hanging="360"/>
      </w:pPr>
      <w:rPr>
        <w:rFonts w:ascii="Courier New" w:hAnsi="Courier New" w:cs="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cs="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cs="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4" w15:restartNumberingAfterBreak="0">
    <w:nsid w:val="0D522FF1"/>
    <w:multiLevelType w:val="hybridMultilevel"/>
    <w:tmpl w:val="B03C63EA"/>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959E46"/>
    <w:multiLevelType w:val="hybridMultilevel"/>
    <w:tmpl w:val="FFFFFFFF"/>
    <w:lvl w:ilvl="0" w:tplc="81ECAB90">
      <w:start w:val="1"/>
      <w:numFmt w:val="bullet"/>
      <w:lvlText w:val=""/>
      <w:lvlJc w:val="left"/>
      <w:pPr>
        <w:ind w:left="1440" w:hanging="360"/>
      </w:pPr>
      <w:rPr>
        <w:rFonts w:ascii="Symbol" w:hAnsi="Symbol" w:hint="default"/>
      </w:rPr>
    </w:lvl>
    <w:lvl w:ilvl="1" w:tplc="496E7BCE">
      <w:start w:val="1"/>
      <w:numFmt w:val="bullet"/>
      <w:lvlText w:val="o"/>
      <w:lvlJc w:val="left"/>
      <w:pPr>
        <w:ind w:left="1440" w:hanging="360"/>
      </w:pPr>
      <w:rPr>
        <w:rFonts w:ascii="Courier New" w:hAnsi="Courier New" w:hint="default"/>
      </w:rPr>
    </w:lvl>
    <w:lvl w:ilvl="2" w:tplc="0D828AEE">
      <w:start w:val="1"/>
      <w:numFmt w:val="bullet"/>
      <w:lvlText w:val=""/>
      <w:lvlJc w:val="left"/>
      <w:pPr>
        <w:ind w:left="2160" w:hanging="360"/>
      </w:pPr>
      <w:rPr>
        <w:rFonts w:ascii="Wingdings" w:hAnsi="Wingdings" w:hint="default"/>
      </w:rPr>
    </w:lvl>
    <w:lvl w:ilvl="3" w:tplc="66CAD87A">
      <w:start w:val="1"/>
      <w:numFmt w:val="bullet"/>
      <w:lvlText w:val=""/>
      <w:lvlJc w:val="left"/>
      <w:pPr>
        <w:ind w:left="2880" w:hanging="360"/>
      </w:pPr>
      <w:rPr>
        <w:rFonts w:ascii="Symbol" w:hAnsi="Symbol" w:hint="default"/>
      </w:rPr>
    </w:lvl>
    <w:lvl w:ilvl="4" w:tplc="3CC48708">
      <w:start w:val="1"/>
      <w:numFmt w:val="bullet"/>
      <w:lvlText w:val="o"/>
      <w:lvlJc w:val="left"/>
      <w:pPr>
        <w:ind w:left="3600" w:hanging="360"/>
      </w:pPr>
      <w:rPr>
        <w:rFonts w:ascii="Courier New" w:hAnsi="Courier New" w:hint="default"/>
      </w:rPr>
    </w:lvl>
    <w:lvl w:ilvl="5" w:tplc="9C8079BE">
      <w:start w:val="1"/>
      <w:numFmt w:val="bullet"/>
      <w:lvlText w:val=""/>
      <w:lvlJc w:val="left"/>
      <w:pPr>
        <w:ind w:left="4320" w:hanging="360"/>
      </w:pPr>
      <w:rPr>
        <w:rFonts w:ascii="Wingdings" w:hAnsi="Wingdings" w:hint="default"/>
      </w:rPr>
    </w:lvl>
    <w:lvl w:ilvl="6" w:tplc="CD76D01C">
      <w:start w:val="1"/>
      <w:numFmt w:val="bullet"/>
      <w:lvlText w:val=""/>
      <w:lvlJc w:val="left"/>
      <w:pPr>
        <w:ind w:left="5040" w:hanging="360"/>
      </w:pPr>
      <w:rPr>
        <w:rFonts w:ascii="Symbol" w:hAnsi="Symbol" w:hint="default"/>
      </w:rPr>
    </w:lvl>
    <w:lvl w:ilvl="7" w:tplc="79122484">
      <w:start w:val="1"/>
      <w:numFmt w:val="bullet"/>
      <w:lvlText w:val="o"/>
      <w:lvlJc w:val="left"/>
      <w:pPr>
        <w:ind w:left="5760" w:hanging="360"/>
      </w:pPr>
      <w:rPr>
        <w:rFonts w:ascii="Courier New" w:hAnsi="Courier New" w:hint="default"/>
      </w:rPr>
    </w:lvl>
    <w:lvl w:ilvl="8" w:tplc="55ECA35E">
      <w:start w:val="1"/>
      <w:numFmt w:val="bullet"/>
      <w:lvlText w:val=""/>
      <w:lvlJc w:val="left"/>
      <w:pPr>
        <w:ind w:left="6480" w:hanging="360"/>
      </w:pPr>
      <w:rPr>
        <w:rFonts w:ascii="Wingdings" w:hAnsi="Wingdings" w:hint="default"/>
      </w:rPr>
    </w:lvl>
  </w:abstractNum>
  <w:abstractNum w:abstractNumId="6" w15:restartNumberingAfterBreak="0">
    <w:nsid w:val="1021789D"/>
    <w:multiLevelType w:val="hybridMultilevel"/>
    <w:tmpl w:val="771E279A"/>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11B1EEAA"/>
    <w:multiLevelType w:val="hybridMultilevel"/>
    <w:tmpl w:val="FFFFFFFF"/>
    <w:lvl w:ilvl="0" w:tplc="3CAAB3E2">
      <w:start w:val="1"/>
      <w:numFmt w:val="bullet"/>
      <w:lvlText w:val=""/>
      <w:lvlJc w:val="left"/>
      <w:pPr>
        <w:ind w:left="720" w:hanging="360"/>
      </w:pPr>
      <w:rPr>
        <w:rFonts w:ascii="Symbol" w:hAnsi="Symbol" w:hint="default"/>
      </w:rPr>
    </w:lvl>
    <w:lvl w:ilvl="1" w:tplc="7D5828A6">
      <w:start w:val="1"/>
      <w:numFmt w:val="bullet"/>
      <w:lvlText w:val=""/>
      <w:lvlJc w:val="left"/>
      <w:pPr>
        <w:ind w:left="1440" w:hanging="360"/>
      </w:pPr>
      <w:rPr>
        <w:rFonts w:ascii="Symbol" w:hAnsi="Symbol" w:hint="default"/>
      </w:rPr>
    </w:lvl>
    <w:lvl w:ilvl="2" w:tplc="CFDA5684">
      <w:start w:val="1"/>
      <w:numFmt w:val="bullet"/>
      <w:lvlText w:val=""/>
      <w:lvlJc w:val="left"/>
      <w:pPr>
        <w:ind w:left="2160" w:hanging="360"/>
      </w:pPr>
      <w:rPr>
        <w:rFonts w:ascii="Wingdings" w:hAnsi="Wingdings" w:hint="default"/>
      </w:rPr>
    </w:lvl>
    <w:lvl w:ilvl="3" w:tplc="8C840B44">
      <w:start w:val="1"/>
      <w:numFmt w:val="bullet"/>
      <w:lvlText w:val=""/>
      <w:lvlJc w:val="left"/>
      <w:pPr>
        <w:ind w:left="2880" w:hanging="360"/>
      </w:pPr>
      <w:rPr>
        <w:rFonts w:ascii="Symbol" w:hAnsi="Symbol" w:hint="default"/>
      </w:rPr>
    </w:lvl>
    <w:lvl w:ilvl="4" w:tplc="B0FC3686">
      <w:start w:val="1"/>
      <w:numFmt w:val="bullet"/>
      <w:lvlText w:val="o"/>
      <w:lvlJc w:val="left"/>
      <w:pPr>
        <w:ind w:left="3600" w:hanging="360"/>
      </w:pPr>
      <w:rPr>
        <w:rFonts w:ascii="Courier New" w:hAnsi="Courier New" w:hint="default"/>
      </w:rPr>
    </w:lvl>
    <w:lvl w:ilvl="5" w:tplc="2C5622B6">
      <w:start w:val="1"/>
      <w:numFmt w:val="bullet"/>
      <w:lvlText w:val=""/>
      <w:lvlJc w:val="left"/>
      <w:pPr>
        <w:ind w:left="4320" w:hanging="360"/>
      </w:pPr>
      <w:rPr>
        <w:rFonts w:ascii="Wingdings" w:hAnsi="Wingdings" w:hint="default"/>
      </w:rPr>
    </w:lvl>
    <w:lvl w:ilvl="6" w:tplc="069875DA">
      <w:start w:val="1"/>
      <w:numFmt w:val="bullet"/>
      <w:lvlText w:val=""/>
      <w:lvlJc w:val="left"/>
      <w:pPr>
        <w:ind w:left="5040" w:hanging="360"/>
      </w:pPr>
      <w:rPr>
        <w:rFonts w:ascii="Symbol" w:hAnsi="Symbol" w:hint="default"/>
      </w:rPr>
    </w:lvl>
    <w:lvl w:ilvl="7" w:tplc="C7CC9654">
      <w:start w:val="1"/>
      <w:numFmt w:val="bullet"/>
      <w:lvlText w:val="o"/>
      <w:lvlJc w:val="left"/>
      <w:pPr>
        <w:ind w:left="5760" w:hanging="360"/>
      </w:pPr>
      <w:rPr>
        <w:rFonts w:ascii="Courier New" w:hAnsi="Courier New" w:hint="default"/>
      </w:rPr>
    </w:lvl>
    <w:lvl w:ilvl="8" w:tplc="A0B00660">
      <w:start w:val="1"/>
      <w:numFmt w:val="bullet"/>
      <w:lvlText w:val=""/>
      <w:lvlJc w:val="left"/>
      <w:pPr>
        <w:ind w:left="6480" w:hanging="360"/>
      </w:pPr>
      <w:rPr>
        <w:rFonts w:ascii="Wingdings" w:hAnsi="Wingdings" w:hint="default"/>
      </w:rPr>
    </w:lvl>
  </w:abstractNum>
  <w:abstractNum w:abstractNumId="8" w15:restartNumberingAfterBreak="0">
    <w:nsid w:val="12840825"/>
    <w:multiLevelType w:val="hybridMultilevel"/>
    <w:tmpl w:val="B1A20084"/>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455244C"/>
    <w:multiLevelType w:val="multilevel"/>
    <w:tmpl w:val="DCBE229E"/>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bCs/>
        <w:color w:val="8F23B3"/>
        <w:sz w:val="32"/>
        <w:szCs w:val="32"/>
      </w:rPr>
    </w:lvl>
    <w:lvl w:ilvl="2">
      <w:start w:val="1"/>
      <w:numFmt w:val="decimal"/>
      <w:isLgl/>
      <w:lvlText w:val="%1.%2.%3"/>
      <w:lvlJc w:val="left"/>
      <w:pPr>
        <w:ind w:left="1080" w:hanging="720"/>
      </w:pPr>
      <w:rPr>
        <w:rFonts w:ascii="Arial" w:hAnsi="Arial" w:cs="Arial" w:hint="default"/>
        <w:b w:val="0"/>
        <w:bCs/>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B606433"/>
    <w:multiLevelType w:val="hybridMultilevel"/>
    <w:tmpl w:val="A41E9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244CD"/>
    <w:multiLevelType w:val="hybridMultilevel"/>
    <w:tmpl w:val="69D68EC2"/>
    <w:lvl w:ilvl="0" w:tplc="49409178">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F90CF1"/>
    <w:multiLevelType w:val="hybridMultilevel"/>
    <w:tmpl w:val="744C06B4"/>
    <w:lvl w:ilvl="0" w:tplc="08090001">
      <w:start w:val="1"/>
      <w:numFmt w:val="bullet"/>
      <w:lvlText w:val=""/>
      <w:lvlJc w:val="left"/>
      <w:pPr>
        <w:ind w:left="502" w:hanging="360"/>
      </w:pPr>
      <w:rPr>
        <w:rFonts w:ascii="Symbol" w:hAnsi="Symbol" w:hint="default"/>
      </w:rPr>
    </w:lvl>
    <w:lvl w:ilvl="1" w:tplc="C4BE1F90">
      <w:start w:val="1"/>
      <w:numFmt w:val="bullet"/>
      <w:lvlText w:val="o"/>
      <w:lvlJc w:val="left"/>
      <w:pPr>
        <w:ind w:left="1222" w:hanging="360"/>
      </w:pPr>
      <w:rPr>
        <w:rFonts w:ascii="Courier New" w:hAnsi="Courier New" w:hint="default"/>
      </w:rPr>
    </w:lvl>
    <w:lvl w:ilvl="2" w:tplc="27BCD7E2">
      <w:start w:val="1"/>
      <w:numFmt w:val="bullet"/>
      <w:lvlText w:val=""/>
      <w:lvlJc w:val="left"/>
      <w:pPr>
        <w:ind w:left="1942" w:hanging="360"/>
      </w:pPr>
      <w:rPr>
        <w:rFonts w:ascii="Wingdings" w:hAnsi="Wingdings" w:hint="default"/>
      </w:rPr>
    </w:lvl>
    <w:lvl w:ilvl="3" w:tplc="76DA27C2">
      <w:start w:val="1"/>
      <w:numFmt w:val="bullet"/>
      <w:lvlText w:val=""/>
      <w:lvlJc w:val="left"/>
      <w:pPr>
        <w:ind w:left="2662" w:hanging="360"/>
      </w:pPr>
      <w:rPr>
        <w:rFonts w:ascii="Symbol" w:hAnsi="Symbol" w:hint="default"/>
      </w:rPr>
    </w:lvl>
    <w:lvl w:ilvl="4" w:tplc="AFD4FF32">
      <w:start w:val="1"/>
      <w:numFmt w:val="bullet"/>
      <w:lvlText w:val="o"/>
      <w:lvlJc w:val="left"/>
      <w:pPr>
        <w:ind w:left="3382" w:hanging="360"/>
      </w:pPr>
      <w:rPr>
        <w:rFonts w:ascii="Courier New" w:hAnsi="Courier New" w:hint="default"/>
      </w:rPr>
    </w:lvl>
    <w:lvl w:ilvl="5" w:tplc="BC62A738">
      <w:start w:val="1"/>
      <w:numFmt w:val="bullet"/>
      <w:lvlText w:val=""/>
      <w:lvlJc w:val="left"/>
      <w:pPr>
        <w:ind w:left="4102" w:hanging="360"/>
      </w:pPr>
      <w:rPr>
        <w:rFonts w:ascii="Wingdings" w:hAnsi="Wingdings" w:hint="default"/>
      </w:rPr>
    </w:lvl>
    <w:lvl w:ilvl="6" w:tplc="A82AD3D0">
      <w:start w:val="1"/>
      <w:numFmt w:val="bullet"/>
      <w:lvlText w:val=""/>
      <w:lvlJc w:val="left"/>
      <w:pPr>
        <w:ind w:left="4822" w:hanging="360"/>
      </w:pPr>
      <w:rPr>
        <w:rFonts w:ascii="Symbol" w:hAnsi="Symbol" w:hint="default"/>
      </w:rPr>
    </w:lvl>
    <w:lvl w:ilvl="7" w:tplc="4CA4B9EE">
      <w:start w:val="1"/>
      <w:numFmt w:val="bullet"/>
      <w:lvlText w:val="o"/>
      <w:lvlJc w:val="left"/>
      <w:pPr>
        <w:ind w:left="5542" w:hanging="360"/>
      </w:pPr>
      <w:rPr>
        <w:rFonts w:ascii="Courier New" w:hAnsi="Courier New" w:hint="default"/>
      </w:rPr>
    </w:lvl>
    <w:lvl w:ilvl="8" w:tplc="722EC988">
      <w:start w:val="1"/>
      <w:numFmt w:val="bullet"/>
      <w:lvlText w:val=""/>
      <w:lvlJc w:val="left"/>
      <w:pPr>
        <w:ind w:left="6262" w:hanging="360"/>
      </w:pPr>
      <w:rPr>
        <w:rFonts w:ascii="Wingdings" w:hAnsi="Wingdings" w:hint="default"/>
      </w:rPr>
    </w:lvl>
  </w:abstractNum>
  <w:abstractNum w:abstractNumId="13" w15:restartNumberingAfterBreak="0">
    <w:nsid w:val="221F2B66"/>
    <w:multiLevelType w:val="multilevel"/>
    <w:tmpl w:val="661EF8A6"/>
    <w:lvl w:ilvl="0">
      <w:start w:val="12"/>
      <w:numFmt w:val="decimal"/>
      <w:lvlText w:val="%1"/>
      <w:lvlJc w:val="left"/>
      <w:pPr>
        <w:ind w:left="460" w:hanging="460"/>
      </w:pPr>
      <w:rPr>
        <w:b/>
      </w:rPr>
    </w:lvl>
    <w:lvl w:ilvl="1">
      <w:start w:val="1"/>
      <w:numFmt w:val="decimal"/>
      <w:lvlText w:val="%1.%2"/>
      <w:lvlJc w:val="left"/>
      <w:pPr>
        <w:ind w:left="1077" w:hanging="717"/>
      </w:pPr>
      <w:rPr>
        <w:b w:val="0"/>
        <w:bCs/>
        <w:color w:val="7030A0"/>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4" w15:restartNumberingAfterBreak="0">
    <w:nsid w:val="226F50C0"/>
    <w:multiLevelType w:val="hybridMultilevel"/>
    <w:tmpl w:val="FFFFFFFF"/>
    <w:lvl w:ilvl="0" w:tplc="D37A6640">
      <w:start w:val="1"/>
      <w:numFmt w:val="bullet"/>
      <w:lvlText w:val=""/>
      <w:lvlJc w:val="left"/>
      <w:pPr>
        <w:ind w:left="720" w:hanging="360"/>
      </w:pPr>
      <w:rPr>
        <w:rFonts w:ascii="Symbol" w:hAnsi="Symbol" w:hint="default"/>
      </w:rPr>
    </w:lvl>
    <w:lvl w:ilvl="1" w:tplc="0FCEC15E">
      <w:start w:val="1"/>
      <w:numFmt w:val="bullet"/>
      <w:lvlText w:val=""/>
      <w:lvlJc w:val="left"/>
      <w:pPr>
        <w:ind w:left="1440" w:hanging="360"/>
      </w:pPr>
      <w:rPr>
        <w:rFonts w:ascii="Symbol" w:hAnsi="Symbol" w:hint="default"/>
      </w:rPr>
    </w:lvl>
    <w:lvl w:ilvl="2" w:tplc="EE9A1BD4">
      <w:start w:val="1"/>
      <w:numFmt w:val="bullet"/>
      <w:lvlText w:val=""/>
      <w:lvlJc w:val="left"/>
      <w:pPr>
        <w:ind w:left="2160" w:hanging="360"/>
      </w:pPr>
      <w:rPr>
        <w:rFonts w:ascii="Wingdings" w:hAnsi="Wingdings" w:hint="default"/>
      </w:rPr>
    </w:lvl>
    <w:lvl w:ilvl="3" w:tplc="1972AA3A">
      <w:start w:val="1"/>
      <w:numFmt w:val="bullet"/>
      <w:lvlText w:val=""/>
      <w:lvlJc w:val="left"/>
      <w:pPr>
        <w:ind w:left="2880" w:hanging="360"/>
      </w:pPr>
      <w:rPr>
        <w:rFonts w:ascii="Symbol" w:hAnsi="Symbol" w:hint="default"/>
      </w:rPr>
    </w:lvl>
    <w:lvl w:ilvl="4" w:tplc="0518BED2">
      <w:start w:val="1"/>
      <w:numFmt w:val="bullet"/>
      <w:lvlText w:val="o"/>
      <w:lvlJc w:val="left"/>
      <w:pPr>
        <w:ind w:left="3600" w:hanging="360"/>
      </w:pPr>
      <w:rPr>
        <w:rFonts w:ascii="Courier New" w:hAnsi="Courier New" w:hint="default"/>
      </w:rPr>
    </w:lvl>
    <w:lvl w:ilvl="5" w:tplc="2F7C0228">
      <w:start w:val="1"/>
      <w:numFmt w:val="bullet"/>
      <w:lvlText w:val=""/>
      <w:lvlJc w:val="left"/>
      <w:pPr>
        <w:ind w:left="4320" w:hanging="360"/>
      </w:pPr>
      <w:rPr>
        <w:rFonts w:ascii="Wingdings" w:hAnsi="Wingdings" w:hint="default"/>
      </w:rPr>
    </w:lvl>
    <w:lvl w:ilvl="6" w:tplc="1D78C9CA">
      <w:start w:val="1"/>
      <w:numFmt w:val="bullet"/>
      <w:lvlText w:val=""/>
      <w:lvlJc w:val="left"/>
      <w:pPr>
        <w:ind w:left="5040" w:hanging="360"/>
      </w:pPr>
      <w:rPr>
        <w:rFonts w:ascii="Symbol" w:hAnsi="Symbol" w:hint="default"/>
      </w:rPr>
    </w:lvl>
    <w:lvl w:ilvl="7" w:tplc="E4B21900">
      <w:start w:val="1"/>
      <w:numFmt w:val="bullet"/>
      <w:lvlText w:val="o"/>
      <w:lvlJc w:val="left"/>
      <w:pPr>
        <w:ind w:left="5760" w:hanging="360"/>
      </w:pPr>
      <w:rPr>
        <w:rFonts w:ascii="Courier New" w:hAnsi="Courier New" w:hint="default"/>
      </w:rPr>
    </w:lvl>
    <w:lvl w:ilvl="8" w:tplc="71567030">
      <w:start w:val="1"/>
      <w:numFmt w:val="bullet"/>
      <w:lvlText w:val=""/>
      <w:lvlJc w:val="left"/>
      <w:pPr>
        <w:ind w:left="6480" w:hanging="360"/>
      </w:pPr>
      <w:rPr>
        <w:rFonts w:ascii="Wingdings" w:hAnsi="Wingdings" w:hint="default"/>
      </w:rPr>
    </w:lvl>
  </w:abstractNum>
  <w:abstractNum w:abstractNumId="15" w15:restartNumberingAfterBreak="0">
    <w:nsid w:val="2B797CAF"/>
    <w:multiLevelType w:val="hybridMultilevel"/>
    <w:tmpl w:val="E59E9244"/>
    <w:lvl w:ilvl="0" w:tplc="08090017">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2CB429A8"/>
    <w:multiLevelType w:val="hybridMultilevel"/>
    <w:tmpl w:val="FF5E718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357C21F1"/>
    <w:multiLevelType w:val="hybridMultilevel"/>
    <w:tmpl w:val="E1088FD0"/>
    <w:lvl w:ilvl="0" w:tplc="9E7C81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62900"/>
    <w:multiLevelType w:val="hybridMultilevel"/>
    <w:tmpl w:val="FFFFFFFF"/>
    <w:lvl w:ilvl="0" w:tplc="B00C2BF8">
      <w:start w:val="1"/>
      <w:numFmt w:val="bullet"/>
      <w:lvlText w:val=""/>
      <w:lvlJc w:val="left"/>
      <w:pPr>
        <w:ind w:left="1440" w:hanging="360"/>
      </w:pPr>
      <w:rPr>
        <w:rFonts w:ascii="Symbol" w:hAnsi="Symbol" w:hint="default"/>
      </w:rPr>
    </w:lvl>
    <w:lvl w:ilvl="1" w:tplc="5450F258">
      <w:start w:val="1"/>
      <w:numFmt w:val="bullet"/>
      <w:lvlText w:val="o"/>
      <w:lvlJc w:val="left"/>
      <w:pPr>
        <w:ind w:left="1440" w:hanging="360"/>
      </w:pPr>
      <w:rPr>
        <w:rFonts w:ascii="Courier New" w:hAnsi="Courier New" w:hint="default"/>
      </w:rPr>
    </w:lvl>
    <w:lvl w:ilvl="2" w:tplc="DB1E8C86">
      <w:start w:val="1"/>
      <w:numFmt w:val="bullet"/>
      <w:lvlText w:val=""/>
      <w:lvlJc w:val="left"/>
      <w:pPr>
        <w:ind w:left="2160" w:hanging="360"/>
      </w:pPr>
      <w:rPr>
        <w:rFonts w:ascii="Wingdings" w:hAnsi="Wingdings" w:hint="default"/>
      </w:rPr>
    </w:lvl>
    <w:lvl w:ilvl="3" w:tplc="5DCA67DC">
      <w:start w:val="1"/>
      <w:numFmt w:val="bullet"/>
      <w:lvlText w:val=""/>
      <w:lvlJc w:val="left"/>
      <w:pPr>
        <w:ind w:left="2880" w:hanging="360"/>
      </w:pPr>
      <w:rPr>
        <w:rFonts w:ascii="Symbol" w:hAnsi="Symbol" w:hint="default"/>
      </w:rPr>
    </w:lvl>
    <w:lvl w:ilvl="4" w:tplc="EC2E2828">
      <w:start w:val="1"/>
      <w:numFmt w:val="bullet"/>
      <w:lvlText w:val="o"/>
      <w:lvlJc w:val="left"/>
      <w:pPr>
        <w:ind w:left="3600" w:hanging="360"/>
      </w:pPr>
      <w:rPr>
        <w:rFonts w:ascii="Courier New" w:hAnsi="Courier New" w:hint="default"/>
      </w:rPr>
    </w:lvl>
    <w:lvl w:ilvl="5" w:tplc="0C5432BA">
      <w:start w:val="1"/>
      <w:numFmt w:val="bullet"/>
      <w:lvlText w:val=""/>
      <w:lvlJc w:val="left"/>
      <w:pPr>
        <w:ind w:left="4320" w:hanging="360"/>
      </w:pPr>
      <w:rPr>
        <w:rFonts w:ascii="Wingdings" w:hAnsi="Wingdings" w:hint="default"/>
      </w:rPr>
    </w:lvl>
    <w:lvl w:ilvl="6" w:tplc="8CF03462">
      <w:start w:val="1"/>
      <w:numFmt w:val="bullet"/>
      <w:lvlText w:val=""/>
      <w:lvlJc w:val="left"/>
      <w:pPr>
        <w:ind w:left="5040" w:hanging="360"/>
      </w:pPr>
      <w:rPr>
        <w:rFonts w:ascii="Symbol" w:hAnsi="Symbol" w:hint="default"/>
      </w:rPr>
    </w:lvl>
    <w:lvl w:ilvl="7" w:tplc="070E01E4">
      <w:start w:val="1"/>
      <w:numFmt w:val="bullet"/>
      <w:lvlText w:val="o"/>
      <w:lvlJc w:val="left"/>
      <w:pPr>
        <w:ind w:left="5760" w:hanging="360"/>
      </w:pPr>
      <w:rPr>
        <w:rFonts w:ascii="Courier New" w:hAnsi="Courier New" w:hint="default"/>
      </w:rPr>
    </w:lvl>
    <w:lvl w:ilvl="8" w:tplc="E2A2DC4C">
      <w:start w:val="1"/>
      <w:numFmt w:val="bullet"/>
      <w:lvlText w:val=""/>
      <w:lvlJc w:val="left"/>
      <w:pPr>
        <w:ind w:left="6480" w:hanging="360"/>
      </w:pPr>
      <w:rPr>
        <w:rFonts w:ascii="Wingdings" w:hAnsi="Wingdings" w:hint="default"/>
      </w:rPr>
    </w:lvl>
  </w:abstractNum>
  <w:abstractNum w:abstractNumId="19" w15:restartNumberingAfterBreak="0">
    <w:nsid w:val="382529BE"/>
    <w:multiLevelType w:val="multilevel"/>
    <w:tmpl w:val="05108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lowerLetter"/>
      <w:lvlText w:val="%4)"/>
      <w:lvlJc w:val="left"/>
      <w:pPr>
        <w:ind w:left="180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6948B6"/>
    <w:multiLevelType w:val="hybridMultilevel"/>
    <w:tmpl w:val="6A1647C6"/>
    <w:lvl w:ilvl="0" w:tplc="08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8845DA5"/>
    <w:multiLevelType w:val="hybridMultilevel"/>
    <w:tmpl w:val="95406116"/>
    <w:lvl w:ilvl="0" w:tplc="08090017">
      <w:start w:val="1"/>
      <w:numFmt w:val="lowerLetter"/>
      <w:lvlText w:val="%1)"/>
      <w:lvlJc w:val="left"/>
      <w:pPr>
        <w:ind w:left="1320" w:hanging="360"/>
      </w:pPr>
      <w:rPr>
        <w:rFonts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22" w15:restartNumberingAfterBreak="0">
    <w:nsid w:val="39176343"/>
    <w:multiLevelType w:val="hybridMultilevel"/>
    <w:tmpl w:val="5C6065C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3B671B9D"/>
    <w:multiLevelType w:val="multilevel"/>
    <w:tmpl w:val="11D477AE"/>
    <w:lvl w:ilvl="0">
      <w:start w:val="11"/>
      <w:numFmt w:val="decimal"/>
      <w:lvlText w:val="%1."/>
      <w:lvlJc w:val="left"/>
      <w:pPr>
        <w:ind w:left="1080" w:hanging="720"/>
      </w:pPr>
    </w:lvl>
    <w:lvl w:ilvl="1">
      <w:start w:val="1"/>
      <w:numFmt w:val="decimal"/>
      <w:isLgl/>
      <w:lvlText w:val="%1.%2"/>
      <w:lvlJc w:val="left"/>
      <w:pPr>
        <w:ind w:left="1080" w:hanging="720"/>
      </w:pPr>
      <w:rPr>
        <w:b w:val="0"/>
        <w:bCs w:val="0"/>
        <w:color w:val="8F23B3"/>
        <w:sz w:val="32"/>
        <w:szCs w:val="32"/>
      </w:rPr>
    </w:lvl>
    <w:lvl w:ilvl="2">
      <w:start w:val="1"/>
      <w:numFmt w:val="decimal"/>
      <w:isLgl/>
      <w:lvlText w:val="%1.%2.%3"/>
      <w:lvlJc w:val="left"/>
      <w:pPr>
        <w:ind w:left="1080" w:hanging="720"/>
      </w:pPr>
      <w:rPr>
        <w:b w:val="0"/>
        <w:bCs/>
        <w:color w:val="8F23B3"/>
        <w:sz w:val="24"/>
        <w:szCs w:val="24"/>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24" w15:restartNumberingAfterBreak="0">
    <w:nsid w:val="3B7962B3"/>
    <w:multiLevelType w:val="hybridMultilevel"/>
    <w:tmpl w:val="5BA8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34F46"/>
    <w:multiLevelType w:val="hybridMultilevel"/>
    <w:tmpl w:val="4B1CD416"/>
    <w:lvl w:ilvl="0" w:tplc="FFFFFFFF">
      <w:start w:val="1"/>
      <w:numFmt w:val="decimal"/>
      <w:pStyle w:val="Submissionnumberedparagraph"/>
      <w:lvlText w:val="%1."/>
      <w:lvlJc w:val="left"/>
      <w:pPr>
        <w:tabs>
          <w:tab w:val="num" w:pos="851"/>
        </w:tabs>
        <w:ind w:left="851" w:hanging="567"/>
      </w:pPr>
      <w:rPr>
        <w:rFonts w:ascii="Arial" w:hAnsi="Arial" w:hint="default"/>
        <w:b w:val="0"/>
        <w:i w:val="0"/>
        <w:sz w:val="22"/>
        <w:szCs w:val="22"/>
      </w:rPr>
    </w:lvl>
    <w:lvl w:ilvl="1" w:tplc="0C5C979C">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2E0AED"/>
    <w:multiLevelType w:val="hybridMultilevel"/>
    <w:tmpl w:val="88BC06FC"/>
    <w:lvl w:ilvl="0" w:tplc="08090017">
      <w:start w:val="1"/>
      <w:numFmt w:val="lowerLetter"/>
      <w:lvlText w:val="%1)"/>
      <w:lvlJc w:val="left"/>
      <w:pPr>
        <w:ind w:left="1752" w:hanging="360"/>
      </w:pPr>
      <w:rPr>
        <w:rFonts w:hint="default"/>
        <w:b w:val="0"/>
        <w:i w:val="0"/>
        <w:color w:val="000000" w:themeColor="text1"/>
      </w:rPr>
    </w:lvl>
    <w:lvl w:ilvl="1" w:tplc="FFFFFFFF">
      <w:start w:val="1"/>
      <w:numFmt w:val="bullet"/>
      <w:lvlText w:val=""/>
      <w:lvlJc w:val="left"/>
      <w:pPr>
        <w:ind w:left="1893" w:hanging="360"/>
      </w:pPr>
      <w:rPr>
        <w:rFonts w:ascii="Symbol" w:hAnsi="Symbol" w:hint="default"/>
      </w:rPr>
    </w:lvl>
    <w:lvl w:ilvl="2" w:tplc="FFFFFFFF">
      <w:start w:val="1"/>
      <w:numFmt w:val="lowerRoman"/>
      <w:lvlText w:val="%3."/>
      <w:lvlJc w:val="right"/>
      <w:pPr>
        <w:ind w:left="3268" w:hanging="180"/>
      </w:pPr>
    </w:lvl>
    <w:lvl w:ilvl="3" w:tplc="FFFFFFFF">
      <w:start w:val="1"/>
      <w:numFmt w:val="lowerLetter"/>
      <w:lvlText w:val="(%4)"/>
      <w:lvlJc w:val="left"/>
      <w:pPr>
        <w:ind w:left="3988" w:hanging="360"/>
      </w:pPr>
      <w:rPr>
        <w:rFonts w:hint="default"/>
      </w:rPr>
    </w:lvl>
    <w:lvl w:ilvl="4" w:tplc="FFFFFFFF">
      <w:start w:val="1"/>
      <w:numFmt w:val="decimal"/>
      <w:lvlText w:val="%5."/>
      <w:lvlJc w:val="left"/>
      <w:pPr>
        <w:ind w:left="4708" w:hanging="360"/>
      </w:pPr>
      <w:rPr>
        <w:rFonts w:hint="default"/>
      </w:rPr>
    </w:lvl>
    <w:lvl w:ilvl="5" w:tplc="FFFFFFFF" w:tentative="1">
      <w:start w:val="1"/>
      <w:numFmt w:val="lowerRoman"/>
      <w:lvlText w:val="%6."/>
      <w:lvlJc w:val="right"/>
      <w:pPr>
        <w:ind w:left="5428" w:hanging="180"/>
      </w:pPr>
    </w:lvl>
    <w:lvl w:ilvl="6" w:tplc="FFFFFFFF" w:tentative="1">
      <w:start w:val="1"/>
      <w:numFmt w:val="decimal"/>
      <w:lvlText w:val="%7."/>
      <w:lvlJc w:val="left"/>
      <w:pPr>
        <w:ind w:left="6148" w:hanging="360"/>
      </w:pPr>
    </w:lvl>
    <w:lvl w:ilvl="7" w:tplc="FFFFFFFF" w:tentative="1">
      <w:start w:val="1"/>
      <w:numFmt w:val="lowerLetter"/>
      <w:lvlText w:val="%8."/>
      <w:lvlJc w:val="left"/>
      <w:pPr>
        <w:ind w:left="6868" w:hanging="360"/>
      </w:pPr>
    </w:lvl>
    <w:lvl w:ilvl="8" w:tplc="FFFFFFFF" w:tentative="1">
      <w:start w:val="1"/>
      <w:numFmt w:val="lowerRoman"/>
      <w:lvlText w:val="%9."/>
      <w:lvlJc w:val="right"/>
      <w:pPr>
        <w:ind w:left="7588" w:hanging="180"/>
      </w:pPr>
    </w:lvl>
  </w:abstractNum>
  <w:abstractNum w:abstractNumId="27" w15:restartNumberingAfterBreak="0">
    <w:nsid w:val="3F9F07BC"/>
    <w:multiLevelType w:val="multilevel"/>
    <w:tmpl w:val="7A627F9C"/>
    <w:lvl w:ilvl="0">
      <w:start w:val="5"/>
      <w:numFmt w:val="decimal"/>
      <w:lvlText w:val="%1"/>
      <w:lvlJc w:val="left"/>
      <w:pPr>
        <w:ind w:left="1080" w:hanging="720"/>
      </w:pPr>
      <w:rPr>
        <w:rFonts w:hint="default"/>
        <w:sz w:val="52"/>
        <w:szCs w:val="52"/>
      </w:rPr>
    </w:lvl>
    <w:lvl w:ilvl="1">
      <w:start w:val="1"/>
      <w:numFmt w:val="decimal"/>
      <w:isLgl/>
      <w:lvlText w:val="%1.%2"/>
      <w:lvlJc w:val="left"/>
      <w:pPr>
        <w:ind w:left="1080" w:hanging="720"/>
      </w:pPr>
      <w:rPr>
        <w:rFonts w:ascii="Arial" w:hAnsi="Arial" w:cs="Arial" w:hint="default"/>
        <w:b w:val="0"/>
        <w:bCs w:val="0"/>
        <w:color w:val="8F23B3"/>
        <w:sz w:val="24"/>
        <w:szCs w:val="28"/>
      </w:rPr>
    </w:lvl>
    <w:lvl w:ilvl="2">
      <w:start w:val="1"/>
      <w:numFmt w:val="decimal"/>
      <w:lvlText w:val="1.%3"/>
      <w:lvlJc w:val="left"/>
      <w:pPr>
        <w:ind w:left="720" w:hanging="360"/>
      </w:pPr>
      <w:rPr>
        <w:rFonts w:hint="default"/>
        <w:b w:val="0"/>
        <w:bCs/>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3554C7A"/>
    <w:multiLevelType w:val="hybridMultilevel"/>
    <w:tmpl w:val="6F0C9C4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9" w15:restartNumberingAfterBreak="0">
    <w:nsid w:val="450E1530"/>
    <w:multiLevelType w:val="hybridMultilevel"/>
    <w:tmpl w:val="FFFFFFFF"/>
    <w:lvl w:ilvl="0" w:tplc="86B434F8">
      <w:start w:val="1"/>
      <w:numFmt w:val="bullet"/>
      <w:lvlText w:val=""/>
      <w:lvlJc w:val="left"/>
      <w:pPr>
        <w:ind w:left="720" w:hanging="360"/>
      </w:pPr>
      <w:rPr>
        <w:rFonts w:ascii="Symbol" w:hAnsi="Symbol" w:hint="default"/>
      </w:rPr>
    </w:lvl>
    <w:lvl w:ilvl="1" w:tplc="8422A87A">
      <w:start w:val="1"/>
      <w:numFmt w:val="bullet"/>
      <w:lvlText w:val="o"/>
      <w:lvlJc w:val="left"/>
      <w:pPr>
        <w:ind w:left="1440" w:hanging="360"/>
      </w:pPr>
      <w:rPr>
        <w:rFonts w:ascii="Courier New" w:hAnsi="Courier New" w:hint="default"/>
      </w:rPr>
    </w:lvl>
    <w:lvl w:ilvl="2" w:tplc="D4D44816">
      <w:start w:val="1"/>
      <w:numFmt w:val="bullet"/>
      <w:lvlText w:val=""/>
      <w:lvlJc w:val="left"/>
      <w:pPr>
        <w:ind w:left="2160" w:hanging="360"/>
      </w:pPr>
      <w:rPr>
        <w:rFonts w:ascii="Wingdings" w:hAnsi="Wingdings" w:hint="default"/>
      </w:rPr>
    </w:lvl>
    <w:lvl w:ilvl="3" w:tplc="EDC68E40">
      <w:start w:val="1"/>
      <w:numFmt w:val="bullet"/>
      <w:lvlText w:val=""/>
      <w:lvlJc w:val="left"/>
      <w:pPr>
        <w:ind w:left="2880" w:hanging="360"/>
      </w:pPr>
      <w:rPr>
        <w:rFonts w:ascii="Symbol" w:hAnsi="Symbol" w:hint="default"/>
      </w:rPr>
    </w:lvl>
    <w:lvl w:ilvl="4" w:tplc="9D2AD97E">
      <w:start w:val="1"/>
      <w:numFmt w:val="bullet"/>
      <w:lvlText w:val="o"/>
      <w:lvlJc w:val="left"/>
      <w:pPr>
        <w:ind w:left="3600" w:hanging="360"/>
      </w:pPr>
      <w:rPr>
        <w:rFonts w:ascii="Courier New" w:hAnsi="Courier New" w:hint="default"/>
      </w:rPr>
    </w:lvl>
    <w:lvl w:ilvl="5" w:tplc="3716A086">
      <w:start w:val="1"/>
      <w:numFmt w:val="bullet"/>
      <w:lvlText w:val=""/>
      <w:lvlJc w:val="left"/>
      <w:pPr>
        <w:ind w:left="4320" w:hanging="360"/>
      </w:pPr>
      <w:rPr>
        <w:rFonts w:ascii="Wingdings" w:hAnsi="Wingdings" w:hint="default"/>
      </w:rPr>
    </w:lvl>
    <w:lvl w:ilvl="6" w:tplc="AAF4FE26">
      <w:start w:val="1"/>
      <w:numFmt w:val="bullet"/>
      <w:lvlText w:val=""/>
      <w:lvlJc w:val="left"/>
      <w:pPr>
        <w:ind w:left="5040" w:hanging="360"/>
      </w:pPr>
      <w:rPr>
        <w:rFonts w:ascii="Symbol" w:hAnsi="Symbol" w:hint="default"/>
      </w:rPr>
    </w:lvl>
    <w:lvl w:ilvl="7" w:tplc="7C3EE078">
      <w:start w:val="1"/>
      <w:numFmt w:val="bullet"/>
      <w:lvlText w:val="o"/>
      <w:lvlJc w:val="left"/>
      <w:pPr>
        <w:ind w:left="5760" w:hanging="360"/>
      </w:pPr>
      <w:rPr>
        <w:rFonts w:ascii="Courier New" w:hAnsi="Courier New" w:hint="default"/>
      </w:rPr>
    </w:lvl>
    <w:lvl w:ilvl="8" w:tplc="F5369ADA">
      <w:start w:val="1"/>
      <w:numFmt w:val="bullet"/>
      <w:lvlText w:val=""/>
      <w:lvlJc w:val="left"/>
      <w:pPr>
        <w:ind w:left="6480" w:hanging="360"/>
      </w:pPr>
      <w:rPr>
        <w:rFonts w:ascii="Wingdings" w:hAnsi="Wingdings" w:hint="default"/>
      </w:rPr>
    </w:lvl>
  </w:abstractNum>
  <w:abstractNum w:abstractNumId="30" w15:restartNumberingAfterBreak="0">
    <w:nsid w:val="46EE5094"/>
    <w:multiLevelType w:val="hybridMultilevel"/>
    <w:tmpl w:val="FB80FBC4"/>
    <w:lvl w:ilvl="0" w:tplc="8FBE0F9C">
      <w:start w:val="1"/>
      <w:numFmt w:val="lowerRoman"/>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31" w15:restartNumberingAfterBreak="0">
    <w:nsid w:val="4AC06CAA"/>
    <w:multiLevelType w:val="hybridMultilevel"/>
    <w:tmpl w:val="6060C23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B7C14A4"/>
    <w:multiLevelType w:val="hybridMultilevel"/>
    <w:tmpl w:val="1BD28E38"/>
    <w:lvl w:ilvl="0" w:tplc="F6048A1E">
      <w:start w:val="12"/>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B901074"/>
    <w:multiLevelType w:val="hybridMultilevel"/>
    <w:tmpl w:val="7D025782"/>
    <w:lvl w:ilvl="0" w:tplc="735631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FD50A9"/>
    <w:multiLevelType w:val="hybridMultilevel"/>
    <w:tmpl w:val="933004E4"/>
    <w:lvl w:ilvl="0" w:tplc="08090017">
      <w:start w:val="1"/>
      <w:numFmt w:val="lowerLetter"/>
      <w:lvlText w:val="%1)"/>
      <w:lvlJc w:val="left"/>
      <w:pPr>
        <w:ind w:left="2304" w:hanging="360"/>
      </w:pPr>
      <w:rPr>
        <w:rFonts w:hint="default"/>
      </w:rPr>
    </w:lvl>
    <w:lvl w:ilvl="1" w:tplc="FFFFFFFF" w:tentative="1">
      <w:start w:val="1"/>
      <w:numFmt w:val="bullet"/>
      <w:lvlText w:val="o"/>
      <w:lvlJc w:val="left"/>
      <w:pPr>
        <w:ind w:left="3024" w:hanging="360"/>
      </w:pPr>
      <w:rPr>
        <w:rFonts w:ascii="Courier New" w:hAnsi="Courier New" w:cs="Courier New" w:hint="default"/>
      </w:rPr>
    </w:lvl>
    <w:lvl w:ilvl="2" w:tplc="FFFFFFFF" w:tentative="1">
      <w:start w:val="1"/>
      <w:numFmt w:val="bullet"/>
      <w:lvlText w:val=""/>
      <w:lvlJc w:val="left"/>
      <w:pPr>
        <w:ind w:left="3744" w:hanging="360"/>
      </w:pPr>
      <w:rPr>
        <w:rFonts w:ascii="Wingdings" w:hAnsi="Wingdings" w:hint="default"/>
      </w:rPr>
    </w:lvl>
    <w:lvl w:ilvl="3" w:tplc="FFFFFFFF" w:tentative="1">
      <w:start w:val="1"/>
      <w:numFmt w:val="bullet"/>
      <w:lvlText w:val=""/>
      <w:lvlJc w:val="left"/>
      <w:pPr>
        <w:ind w:left="4464" w:hanging="360"/>
      </w:pPr>
      <w:rPr>
        <w:rFonts w:ascii="Symbol" w:hAnsi="Symbol" w:hint="default"/>
      </w:rPr>
    </w:lvl>
    <w:lvl w:ilvl="4" w:tplc="FFFFFFFF" w:tentative="1">
      <w:start w:val="1"/>
      <w:numFmt w:val="bullet"/>
      <w:lvlText w:val="o"/>
      <w:lvlJc w:val="left"/>
      <w:pPr>
        <w:ind w:left="5184" w:hanging="360"/>
      </w:pPr>
      <w:rPr>
        <w:rFonts w:ascii="Courier New" w:hAnsi="Courier New" w:cs="Courier New" w:hint="default"/>
      </w:rPr>
    </w:lvl>
    <w:lvl w:ilvl="5" w:tplc="FFFFFFFF" w:tentative="1">
      <w:start w:val="1"/>
      <w:numFmt w:val="bullet"/>
      <w:lvlText w:val=""/>
      <w:lvlJc w:val="left"/>
      <w:pPr>
        <w:ind w:left="5904" w:hanging="360"/>
      </w:pPr>
      <w:rPr>
        <w:rFonts w:ascii="Wingdings" w:hAnsi="Wingdings" w:hint="default"/>
      </w:rPr>
    </w:lvl>
    <w:lvl w:ilvl="6" w:tplc="FFFFFFFF" w:tentative="1">
      <w:start w:val="1"/>
      <w:numFmt w:val="bullet"/>
      <w:lvlText w:val=""/>
      <w:lvlJc w:val="left"/>
      <w:pPr>
        <w:ind w:left="6624" w:hanging="360"/>
      </w:pPr>
      <w:rPr>
        <w:rFonts w:ascii="Symbol" w:hAnsi="Symbol" w:hint="default"/>
      </w:rPr>
    </w:lvl>
    <w:lvl w:ilvl="7" w:tplc="FFFFFFFF" w:tentative="1">
      <w:start w:val="1"/>
      <w:numFmt w:val="bullet"/>
      <w:lvlText w:val="o"/>
      <w:lvlJc w:val="left"/>
      <w:pPr>
        <w:ind w:left="7344" w:hanging="360"/>
      </w:pPr>
      <w:rPr>
        <w:rFonts w:ascii="Courier New" w:hAnsi="Courier New" w:cs="Courier New" w:hint="default"/>
      </w:rPr>
    </w:lvl>
    <w:lvl w:ilvl="8" w:tplc="FFFFFFFF" w:tentative="1">
      <w:start w:val="1"/>
      <w:numFmt w:val="bullet"/>
      <w:lvlText w:val=""/>
      <w:lvlJc w:val="left"/>
      <w:pPr>
        <w:ind w:left="8064" w:hanging="360"/>
      </w:pPr>
      <w:rPr>
        <w:rFonts w:ascii="Wingdings" w:hAnsi="Wingdings" w:hint="default"/>
      </w:rPr>
    </w:lvl>
  </w:abstractNum>
  <w:abstractNum w:abstractNumId="35" w15:restartNumberingAfterBreak="0">
    <w:nsid w:val="4F040784"/>
    <w:multiLevelType w:val="hybridMultilevel"/>
    <w:tmpl w:val="F6A4917E"/>
    <w:lvl w:ilvl="0" w:tplc="08090017">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6" w15:restartNumberingAfterBreak="0">
    <w:nsid w:val="522B71D7"/>
    <w:multiLevelType w:val="hybridMultilevel"/>
    <w:tmpl w:val="8B12B458"/>
    <w:lvl w:ilvl="0" w:tplc="2F8ECB1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27C18B1"/>
    <w:multiLevelType w:val="hybridMultilevel"/>
    <w:tmpl w:val="FFFFFFFF"/>
    <w:lvl w:ilvl="0" w:tplc="742C23D4">
      <w:start w:val="1"/>
      <w:numFmt w:val="bullet"/>
      <w:lvlText w:val=""/>
      <w:lvlJc w:val="left"/>
      <w:pPr>
        <w:ind w:left="1440" w:hanging="360"/>
      </w:pPr>
      <w:rPr>
        <w:rFonts w:ascii="Symbol" w:hAnsi="Symbol" w:hint="default"/>
      </w:rPr>
    </w:lvl>
    <w:lvl w:ilvl="1" w:tplc="DC0A0BCC">
      <w:start w:val="1"/>
      <w:numFmt w:val="bullet"/>
      <w:lvlText w:val="o"/>
      <w:lvlJc w:val="left"/>
      <w:pPr>
        <w:ind w:left="1440" w:hanging="360"/>
      </w:pPr>
      <w:rPr>
        <w:rFonts w:ascii="Courier New" w:hAnsi="Courier New" w:hint="default"/>
      </w:rPr>
    </w:lvl>
    <w:lvl w:ilvl="2" w:tplc="03841680">
      <w:start w:val="1"/>
      <w:numFmt w:val="bullet"/>
      <w:lvlText w:val=""/>
      <w:lvlJc w:val="left"/>
      <w:pPr>
        <w:ind w:left="2160" w:hanging="360"/>
      </w:pPr>
      <w:rPr>
        <w:rFonts w:ascii="Wingdings" w:hAnsi="Wingdings" w:hint="default"/>
      </w:rPr>
    </w:lvl>
    <w:lvl w:ilvl="3" w:tplc="925AFE58">
      <w:start w:val="1"/>
      <w:numFmt w:val="bullet"/>
      <w:lvlText w:val=""/>
      <w:lvlJc w:val="left"/>
      <w:pPr>
        <w:ind w:left="2880" w:hanging="360"/>
      </w:pPr>
      <w:rPr>
        <w:rFonts w:ascii="Symbol" w:hAnsi="Symbol" w:hint="default"/>
      </w:rPr>
    </w:lvl>
    <w:lvl w:ilvl="4" w:tplc="2E164994">
      <w:start w:val="1"/>
      <w:numFmt w:val="bullet"/>
      <w:lvlText w:val="o"/>
      <w:lvlJc w:val="left"/>
      <w:pPr>
        <w:ind w:left="3600" w:hanging="360"/>
      </w:pPr>
      <w:rPr>
        <w:rFonts w:ascii="Courier New" w:hAnsi="Courier New" w:hint="default"/>
      </w:rPr>
    </w:lvl>
    <w:lvl w:ilvl="5" w:tplc="0244350E">
      <w:start w:val="1"/>
      <w:numFmt w:val="bullet"/>
      <w:lvlText w:val=""/>
      <w:lvlJc w:val="left"/>
      <w:pPr>
        <w:ind w:left="4320" w:hanging="360"/>
      </w:pPr>
      <w:rPr>
        <w:rFonts w:ascii="Wingdings" w:hAnsi="Wingdings" w:hint="default"/>
      </w:rPr>
    </w:lvl>
    <w:lvl w:ilvl="6" w:tplc="BC06E2C6">
      <w:start w:val="1"/>
      <w:numFmt w:val="bullet"/>
      <w:lvlText w:val=""/>
      <w:lvlJc w:val="left"/>
      <w:pPr>
        <w:ind w:left="5040" w:hanging="360"/>
      </w:pPr>
      <w:rPr>
        <w:rFonts w:ascii="Symbol" w:hAnsi="Symbol" w:hint="default"/>
      </w:rPr>
    </w:lvl>
    <w:lvl w:ilvl="7" w:tplc="7FCACB0C">
      <w:start w:val="1"/>
      <w:numFmt w:val="bullet"/>
      <w:lvlText w:val="o"/>
      <w:lvlJc w:val="left"/>
      <w:pPr>
        <w:ind w:left="5760" w:hanging="360"/>
      </w:pPr>
      <w:rPr>
        <w:rFonts w:ascii="Courier New" w:hAnsi="Courier New" w:hint="default"/>
      </w:rPr>
    </w:lvl>
    <w:lvl w:ilvl="8" w:tplc="271A8002">
      <w:start w:val="1"/>
      <w:numFmt w:val="bullet"/>
      <w:lvlText w:val=""/>
      <w:lvlJc w:val="left"/>
      <w:pPr>
        <w:ind w:left="6480" w:hanging="360"/>
      </w:pPr>
      <w:rPr>
        <w:rFonts w:ascii="Wingdings" w:hAnsi="Wingdings" w:hint="default"/>
      </w:rPr>
    </w:lvl>
  </w:abstractNum>
  <w:abstractNum w:abstractNumId="38" w15:restartNumberingAfterBreak="0">
    <w:nsid w:val="57D957E1"/>
    <w:multiLevelType w:val="hybridMultilevel"/>
    <w:tmpl w:val="366E6A6A"/>
    <w:lvl w:ilvl="0" w:tplc="FD683096">
      <w:start w:val="1"/>
      <w:numFmt w:val="bullet"/>
      <w:pStyle w:val="BoxedBullet"/>
      <w:lvlText w:val=""/>
      <w:lvlJc w:val="left"/>
      <w:pPr>
        <w:tabs>
          <w:tab w:val="num" w:pos="454"/>
        </w:tabs>
        <w:ind w:left="454" w:hanging="454"/>
      </w:pPr>
      <w:rPr>
        <w:rFonts w:ascii="Symbol" w:hAnsi="Symbol" w:hint="default"/>
      </w:rPr>
    </w:lvl>
    <w:lvl w:ilvl="1" w:tplc="CF40883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87DAD"/>
    <w:multiLevelType w:val="hybridMultilevel"/>
    <w:tmpl w:val="27C61D04"/>
    <w:lvl w:ilvl="0" w:tplc="08090017">
      <w:start w:val="1"/>
      <w:numFmt w:val="lowerLetter"/>
      <w:lvlText w:val="%1)"/>
      <w:lvlJc w:val="left"/>
      <w:pPr>
        <w:ind w:left="1752" w:hanging="360"/>
      </w:pPr>
      <w:rPr>
        <w:rFonts w:hint="default"/>
      </w:rPr>
    </w:lvl>
    <w:lvl w:ilvl="1" w:tplc="FFFFFFFF" w:tentative="1">
      <w:start w:val="1"/>
      <w:numFmt w:val="lowerLetter"/>
      <w:lvlText w:val="%2."/>
      <w:lvlJc w:val="left"/>
      <w:pPr>
        <w:ind w:left="2472" w:hanging="360"/>
      </w:pPr>
    </w:lvl>
    <w:lvl w:ilvl="2" w:tplc="FFFFFFFF" w:tentative="1">
      <w:start w:val="1"/>
      <w:numFmt w:val="lowerRoman"/>
      <w:lvlText w:val="%3."/>
      <w:lvlJc w:val="right"/>
      <w:pPr>
        <w:ind w:left="3192" w:hanging="180"/>
      </w:pPr>
    </w:lvl>
    <w:lvl w:ilvl="3" w:tplc="FFFFFFFF" w:tentative="1">
      <w:start w:val="1"/>
      <w:numFmt w:val="decimal"/>
      <w:lvlText w:val="%4."/>
      <w:lvlJc w:val="left"/>
      <w:pPr>
        <w:ind w:left="3912" w:hanging="360"/>
      </w:pPr>
    </w:lvl>
    <w:lvl w:ilvl="4" w:tplc="FFFFFFFF" w:tentative="1">
      <w:start w:val="1"/>
      <w:numFmt w:val="lowerLetter"/>
      <w:lvlText w:val="%5."/>
      <w:lvlJc w:val="left"/>
      <w:pPr>
        <w:ind w:left="4632" w:hanging="360"/>
      </w:pPr>
    </w:lvl>
    <w:lvl w:ilvl="5" w:tplc="FFFFFFFF" w:tentative="1">
      <w:start w:val="1"/>
      <w:numFmt w:val="lowerRoman"/>
      <w:lvlText w:val="%6."/>
      <w:lvlJc w:val="right"/>
      <w:pPr>
        <w:ind w:left="5352" w:hanging="180"/>
      </w:pPr>
    </w:lvl>
    <w:lvl w:ilvl="6" w:tplc="FFFFFFFF" w:tentative="1">
      <w:start w:val="1"/>
      <w:numFmt w:val="decimal"/>
      <w:lvlText w:val="%7."/>
      <w:lvlJc w:val="left"/>
      <w:pPr>
        <w:ind w:left="6072" w:hanging="360"/>
      </w:pPr>
    </w:lvl>
    <w:lvl w:ilvl="7" w:tplc="FFFFFFFF" w:tentative="1">
      <w:start w:val="1"/>
      <w:numFmt w:val="lowerLetter"/>
      <w:lvlText w:val="%8."/>
      <w:lvlJc w:val="left"/>
      <w:pPr>
        <w:ind w:left="6792" w:hanging="360"/>
      </w:pPr>
    </w:lvl>
    <w:lvl w:ilvl="8" w:tplc="FFFFFFFF" w:tentative="1">
      <w:start w:val="1"/>
      <w:numFmt w:val="lowerRoman"/>
      <w:lvlText w:val="%9."/>
      <w:lvlJc w:val="right"/>
      <w:pPr>
        <w:ind w:left="7512" w:hanging="180"/>
      </w:pPr>
    </w:lvl>
  </w:abstractNum>
  <w:abstractNum w:abstractNumId="40" w15:restartNumberingAfterBreak="0">
    <w:nsid w:val="5A052F35"/>
    <w:multiLevelType w:val="hybridMultilevel"/>
    <w:tmpl w:val="84F6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6659D1"/>
    <w:multiLevelType w:val="hybridMultilevel"/>
    <w:tmpl w:val="FFFFFFFF"/>
    <w:lvl w:ilvl="0" w:tplc="07BAA8FE">
      <w:start w:val="1"/>
      <w:numFmt w:val="bullet"/>
      <w:lvlText w:val=""/>
      <w:lvlJc w:val="left"/>
      <w:pPr>
        <w:ind w:left="1440" w:hanging="360"/>
      </w:pPr>
      <w:rPr>
        <w:rFonts w:ascii="Symbol" w:hAnsi="Symbol" w:hint="default"/>
      </w:rPr>
    </w:lvl>
    <w:lvl w:ilvl="1" w:tplc="A2E6F328">
      <w:start w:val="1"/>
      <w:numFmt w:val="bullet"/>
      <w:lvlText w:val="o"/>
      <w:lvlJc w:val="left"/>
      <w:pPr>
        <w:ind w:left="1440" w:hanging="360"/>
      </w:pPr>
      <w:rPr>
        <w:rFonts w:ascii="Courier New" w:hAnsi="Courier New" w:hint="default"/>
      </w:rPr>
    </w:lvl>
    <w:lvl w:ilvl="2" w:tplc="FA4CED92">
      <w:start w:val="1"/>
      <w:numFmt w:val="bullet"/>
      <w:lvlText w:val=""/>
      <w:lvlJc w:val="left"/>
      <w:pPr>
        <w:ind w:left="2160" w:hanging="360"/>
      </w:pPr>
      <w:rPr>
        <w:rFonts w:ascii="Wingdings" w:hAnsi="Wingdings" w:hint="default"/>
      </w:rPr>
    </w:lvl>
    <w:lvl w:ilvl="3" w:tplc="C0587C60">
      <w:start w:val="1"/>
      <w:numFmt w:val="bullet"/>
      <w:lvlText w:val=""/>
      <w:lvlJc w:val="left"/>
      <w:pPr>
        <w:ind w:left="2880" w:hanging="360"/>
      </w:pPr>
      <w:rPr>
        <w:rFonts w:ascii="Symbol" w:hAnsi="Symbol" w:hint="default"/>
      </w:rPr>
    </w:lvl>
    <w:lvl w:ilvl="4" w:tplc="F1B2C198">
      <w:start w:val="1"/>
      <w:numFmt w:val="bullet"/>
      <w:lvlText w:val="o"/>
      <w:lvlJc w:val="left"/>
      <w:pPr>
        <w:ind w:left="3600" w:hanging="360"/>
      </w:pPr>
      <w:rPr>
        <w:rFonts w:ascii="Courier New" w:hAnsi="Courier New" w:hint="default"/>
      </w:rPr>
    </w:lvl>
    <w:lvl w:ilvl="5" w:tplc="83A60712">
      <w:start w:val="1"/>
      <w:numFmt w:val="bullet"/>
      <w:lvlText w:val=""/>
      <w:lvlJc w:val="left"/>
      <w:pPr>
        <w:ind w:left="4320" w:hanging="360"/>
      </w:pPr>
      <w:rPr>
        <w:rFonts w:ascii="Wingdings" w:hAnsi="Wingdings" w:hint="default"/>
      </w:rPr>
    </w:lvl>
    <w:lvl w:ilvl="6" w:tplc="850CA7B0">
      <w:start w:val="1"/>
      <w:numFmt w:val="bullet"/>
      <w:lvlText w:val=""/>
      <w:lvlJc w:val="left"/>
      <w:pPr>
        <w:ind w:left="5040" w:hanging="360"/>
      </w:pPr>
      <w:rPr>
        <w:rFonts w:ascii="Symbol" w:hAnsi="Symbol" w:hint="default"/>
      </w:rPr>
    </w:lvl>
    <w:lvl w:ilvl="7" w:tplc="B050721E">
      <w:start w:val="1"/>
      <w:numFmt w:val="bullet"/>
      <w:lvlText w:val="o"/>
      <w:lvlJc w:val="left"/>
      <w:pPr>
        <w:ind w:left="5760" w:hanging="360"/>
      </w:pPr>
      <w:rPr>
        <w:rFonts w:ascii="Courier New" w:hAnsi="Courier New" w:hint="default"/>
      </w:rPr>
    </w:lvl>
    <w:lvl w:ilvl="8" w:tplc="443E5A52">
      <w:start w:val="1"/>
      <w:numFmt w:val="bullet"/>
      <w:lvlText w:val=""/>
      <w:lvlJc w:val="left"/>
      <w:pPr>
        <w:ind w:left="6480" w:hanging="360"/>
      </w:pPr>
      <w:rPr>
        <w:rFonts w:ascii="Wingdings" w:hAnsi="Wingdings" w:hint="default"/>
      </w:rPr>
    </w:lvl>
  </w:abstractNum>
  <w:abstractNum w:abstractNumId="42" w15:restartNumberingAfterBreak="0">
    <w:nsid w:val="63D1E5BD"/>
    <w:multiLevelType w:val="hybridMultilevel"/>
    <w:tmpl w:val="FFFFFFFF"/>
    <w:lvl w:ilvl="0" w:tplc="94DC393E">
      <w:start w:val="1"/>
      <w:numFmt w:val="bullet"/>
      <w:lvlText w:val=""/>
      <w:lvlJc w:val="left"/>
      <w:pPr>
        <w:ind w:left="1440" w:hanging="360"/>
      </w:pPr>
      <w:rPr>
        <w:rFonts w:ascii="Symbol" w:hAnsi="Symbol" w:hint="default"/>
      </w:rPr>
    </w:lvl>
    <w:lvl w:ilvl="1" w:tplc="862AA2A4">
      <w:start w:val="1"/>
      <w:numFmt w:val="bullet"/>
      <w:lvlText w:val="o"/>
      <w:lvlJc w:val="left"/>
      <w:pPr>
        <w:ind w:left="1440" w:hanging="360"/>
      </w:pPr>
      <w:rPr>
        <w:rFonts w:ascii="Courier New" w:hAnsi="Courier New" w:hint="default"/>
      </w:rPr>
    </w:lvl>
    <w:lvl w:ilvl="2" w:tplc="DBF84A14">
      <w:start w:val="1"/>
      <w:numFmt w:val="bullet"/>
      <w:lvlText w:val=""/>
      <w:lvlJc w:val="left"/>
      <w:pPr>
        <w:ind w:left="2160" w:hanging="360"/>
      </w:pPr>
      <w:rPr>
        <w:rFonts w:ascii="Wingdings" w:hAnsi="Wingdings" w:hint="default"/>
      </w:rPr>
    </w:lvl>
    <w:lvl w:ilvl="3" w:tplc="3F6C7514">
      <w:start w:val="1"/>
      <w:numFmt w:val="bullet"/>
      <w:lvlText w:val=""/>
      <w:lvlJc w:val="left"/>
      <w:pPr>
        <w:ind w:left="2880" w:hanging="360"/>
      </w:pPr>
      <w:rPr>
        <w:rFonts w:ascii="Symbol" w:hAnsi="Symbol" w:hint="default"/>
      </w:rPr>
    </w:lvl>
    <w:lvl w:ilvl="4" w:tplc="FD94B540">
      <w:start w:val="1"/>
      <w:numFmt w:val="bullet"/>
      <w:lvlText w:val="o"/>
      <w:lvlJc w:val="left"/>
      <w:pPr>
        <w:ind w:left="3600" w:hanging="360"/>
      </w:pPr>
      <w:rPr>
        <w:rFonts w:ascii="Courier New" w:hAnsi="Courier New" w:hint="default"/>
      </w:rPr>
    </w:lvl>
    <w:lvl w:ilvl="5" w:tplc="E03AC3A4">
      <w:start w:val="1"/>
      <w:numFmt w:val="bullet"/>
      <w:lvlText w:val=""/>
      <w:lvlJc w:val="left"/>
      <w:pPr>
        <w:ind w:left="4320" w:hanging="360"/>
      </w:pPr>
      <w:rPr>
        <w:rFonts w:ascii="Wingdings" w:hAnsi="Wingdings" w:hint="default"/>
      </w:rPr>
    </w:lvl>
    <w:lvl w:ilvl="6" w:tplc="0AB29B7C">
      <w:start w:val="1"/>
      <w:numFmt w:val="bullet"/>
      <w:lvlText w:val=""/>
      <w:lvlJc w:val="left"/>
      <w:pPr>
        <w:ind w:left="5040" w:hanging="360"/>
      </w:pPr>
      <w:rPr>
        <w:rFonts w:ascii="Symbol" w:hAnsi="Symbol" w:hint="default"/>
      </w:rPr>
    </w:lvl>
    <w:lvl w:ilvl="7" w:tplc="5AFE4B96">
      <w:start w:val="1"/>
      <w:numFmt w:val="bullet"/>
      <w:lvlText w:val="o"/>
      <w:lvlJc w:val="left"/>
      <w:pPr>
        <w:ind w:left="5760" w:hanging="360"/>
      </w:pPr>
      <w:rPr>
        <w:rFonts w:ascii="Courier New" w:hAnsi="Courier New" w:hint="default"/>
      </w:rPr>
    </w:lvl>
    <w:lvl w:ilvl="8" w:tplc="4DF062D8">
      <w:start w:val="1"/>
      <w:numFmt w:val="bullet"/>
      <w:lvlText w:val=""/>
      <w:lvlJc w:val="left"/>
      <w:pPr>
        <w:ind w:left="6480" w:hanging="360"/>
      </w:pPr>
      <w:rPr>
        <w:rFonts w:ascii="Wingdings" w:hAnsi="Wingdings" w:hint="default"/>
      </w:rPr>
    </w:lvl>
  </w:abstractNum>
  <w:abstractNum w:abstractNumId="43" w15:restartNumberingAfterBreak="0">
    <w:nsid w:val="6E8A05AF"/>
    <w:multiLevelType w:val="hybridMultilevel"/>
    <w:tmpl w:val="95F2FE54"/>
    <w:lvl w:ilvl="0" w:tplc="49409178">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CFD1A"/>
    <w:multiLevelType w:val="hybridMultilevel"/>
    <w:tmpl w:val="FFFFFFFF"/>
    <w:lvl w:ilvl="0" w:tplc="0BDC5440">
      <w:start w:val="1"/>
      <w:numFmt w:val="bullet"/>
      <w:lvlText w:val=""/>
      <w:lvlJc w:val="left"/>
      <w:pPr>
        <w:ind w:left="720" w:hanging="360"/>
      </w:pPr>
      <w:rPr>
        <w:rFonts w:ascii="Symbol" w:hAnsi="Symbol" w:hint="default"/>
      </w:rPr>
    </w:lvl>
    <w:lvl w:ilvl="1" w:tplc="A74694CE">
      <w:start w:val="1"/>
      <w:numFmt w:val="bullet"/>
      <w:lvlText w:val=""/>
      <w:lvlJc w:val="left"/>
      <w:pPr>
        <w:ind w:left="1440" w:hanging="360"/>
      </w:pPr>
      <w:rPr>
        <w:rFonts w:ascii="Symbol" w:hAnsi="Symbol" w:hint="default"/>
      </w:rPr>
    </w:lvl>
    <w:lvl w:ilvl="2" w:tplc="140A36A2">
      <w:start w:val="1"/>
      <w:numFmt w:val="bullet"/>
      <w:lvlText w:val=""/>
      <w:lvlJc w:val="left"/>
      <w:pPr>
        <w:ind w:left="2160" w:hanging="360"/>
      </w:pPr>
      <w:rPr>
        <w:rFonts w:ascii="Wingdings" w:hAnsi="Wingdings" w:hint="default"/>
      </w:rPr>
    </w:lvl>
    <w:lvl w:ilvl="3" w:tplc="51ACB62C">
      <w:start w:val="1"/>
      <w:numFmt w:val="bullet"/>
      <w:lvlText w:val=""/>
      <w:lvlJc w:val="left"/>
      <w:pPr>
        <w:ind w:left="2880" w:hanging="360"/>
      </w:pPr>
      <w:rPr>
        <w:rFonts w:ascii="Symbol" w:hAnsi="Symbol" w:hint="default"/>
      </w:rPr>
    </w:lvl>
    <w:lvl w:ilvl="4" w:tplc="57025952">
      <w:start w:val="1"/>
      <w:numFmt w:val="bullet"/>
      <w:lvlText w:val="o"/>
      <w:lvlJc w:val="left"/>
      <w:pPr>
        <w:ind w:left="3600" w:hanging="360"/>
      </w:pPr>
      <w:rPr>
        <w:rFonts w:ascii="Courier New" w:hAnsi="Courier New" w:hint="default"/>
      </w:rPr>
    </w:lvl>
    <w:lvl w:ilvl="5" w:tplc="F5B01734">
      <w:start w:val="1"/>
      <w:numFmt w:val="bullet"/>
      <w:lvlText w:val=""/>
      <w:lvlJc w:val="left"/>
      <w:pPr>
        <w:ind w:left="4320" w:hanging="360"/>
      </w:pPr>
      <w:rPr>
        <w:rFonts w:ascii="Wingdings" w:hAnsi="Wingdings" w:hint="default"/>
      </w:rPr>
    </w:lvl>
    <w:lvl w:ilvl="6" w:tplc="9F38B57C">
      <w:start w:val="1"/>
      <w:numFmt w:val="bullet"/>
      <w:lvlText w:val=""/>
      <w:lvlJc w:val="left"/>
      <w:pPr>
        <w:ind w:left="5040" w:hanging="360"/>
      </w:pPr>
      <w:rPr>
        <w:rFonts w:ascii="Symbol" w:hAnsi="Symbol" w:hint="default"/>
      </w:rPr>
    </w:lvl>
    <w:lvl w:ilvl="7" w:tplc="D4762BB4">
      <w:start w:val="1"/>
      <w:numFmt w:val="bullet"/>
      <w:lvlText w:val="o"/>
      <w:lvlJc w:val="left"/>
      <w:pPr>
        <w:ind w:left="5760" w:hanging="360"/>
      </w:pPr>
      <w:rPr>
        <w:rFonts w:ascii="Courier New" w:hAnsi="Courier New" w:hint="default"/>
      </w:rPr>
    </w:lvl>
    <w:lvl w:ilvl="8" w:tplc="F89AB58C">
      <w:start w:val="1"/>
      <w:numFmt w:val="bullet"/>
      <w:lvlText w:val=""/>
      <w:lvlJc w:val="left"/>
      <w:pPr>
        <w:ind w:left="6480" w:hanging="360"/>
      </w:pPr>
      <w:rPr>
        <w:rFonts w:ascii="Wingdings" w:hAnsi="Wingdings" w:hint="default"/>
      </w:rPr>
    </w:lvl>
  </w:abstractNum>
  <w:abstractNum w:abstractNumId="45" w15:restartNumberingAfterBreak="0">
    <w:nsid w:val="771BDE50"/>
    <w:multiLevelType w:val="hybridMultilevel"/>
    <w:tmpl w:val="FFFFFFFF"/>
    <w:lvl w:ilvl="0" w:tplc="10249F52">
      <w:start w:val="10"/>
      <w:numFmt w:val="decimal"/>
      <w:lvlText w:val="%1."/>
      <w:lvlJc w:val="left"/>
      <w:pPr>
        <w:ind w:left="720" w:hanging="360"/>
      </w:pPr>
      <w:rPr>
        <w:rFonts w:ascii="Arial" w:hAnsi="Arial" w:hint="default"/>
      </w:rPr>
    </w:lvl>
    <w:lvl w:ilvl="1" w:tplc="B6C8A03A">
      <w:start w:val="1"/>
      <w:numFmt w:val="lowerLetter"/>
      <w:lvlText w:val="%2."/>
      <w:lvlJc w:val="left"/>
      <w:pPr>
        <w:ind w:left="1440" w:hanging="360"/>
      </w:pPr>
    </w:lvl>
    <w:lvl w:ilvl="2" w:tplc="4620AC26">
      <w:start w:val="1"/>
      <w:numFmt w:val="lowerRoman"/>
      <w:lvlText w:val="%3."/>
      <w:lvlJc w:val="right"/>
      <w:pPr>
        <w:ind w:left="2160" w:hanging="180"/>
      </w:pPr>
    </w:lvl>
    <w:lvl w:ilvl="3" w:tplc="D1DC7484">
      <w:start w:val="1"/>
      <w:numFmt w:val="decimal"/>
      <w:lvlText w:val="%4."/>
      <w:lvlJc w:val="left"/>
      <w:pPr>
        <w:ind w:left="2880" w:hanging="360"/>
      </w:pPr>
    </w:lvl>
    <w:lvl w:ilvl="4" w:tplc="6A48E8CC">
      <w:start w:val="1"/>
      <w:numFmt w:val="lowerLetter"/>
      <w:lvlText w:val="%5."/>
      <w:lvlJc w:val="left"/>
      <w:pPr>
        <w:ind w:left="3600" w:hanging="360"/>
      </w:pPr>
    </w:lvl>
    <w:lvl w:ilvl="5" w:tplc="6E869B20">
      <w:start w:val="1"/>
      <w:numFmt w:val="lowerRoman"/>
      <w:lvlText w:val="%6."/>
      <w:lvlJc w:val="right"/>
      <w:pPr>
        <w:ind w:left="4320" w:hanging="180"/>
      </w:pPr>
    </w:lvl>
    <w:lvl w:ilvl="6" w:tplc="931C05B8">
      <w:start w:val="1"/>
      <w:numFmt w:val="decimal"/>
      <w:lvlText w:val="%7."/>
      <w:lvlJc w:val="left"/>
      <w:pPr>
        <w:ind w:left="5040" w:hanging="360"/>
      </w:pPr>
    </w:lvl>
    <w:lvl w:ilvl="7" w:tplc="ABA6A8B8">
      <w:start w:val="1"/>
      <w:numFmt w:val="lowerLetter"/>
      <w:lvlText w:val="%8."/>
      <w:lvlJc w:val="left"/>
      <w:pPr>
        <w:ind w:left="5760" w:hanging="360"/>
      </w:pPr>
    </w:lvl>
    <w:lvl w:ilvl="8" w:tplc="33CA189A">
      <w:start w:val="1"/>
      <w:numFmt w:val="lowerRoman"/>
      <w:lvlText w:val="%9."/>
      <w:lvlJc w:val="right"/>
      <w:pPr>
        <w:ind w:left="6480" w:hanging="180"/>
      </w:pPr>
    </w:lvl>
  </w:abstractNum>
  <w:abstractNum w:abstractNumId="46" w15:restartNumberingAfterBreak="0">
    <w:nsid w:val="7B0657C1"/>
    <w:multiLevelType w:val="multilevel"/>
    <w:tmpl w:val="B53E7BC4"/>
    <w:lvl w:ilvl="0">
      <w:start w:val="6"/>
      <w:numFmt w:val="decimal"/>
      <w:lvlText w:val="%1"/>
      <w:lvlJc w:val="left"/>
      <w:pPr>
        <w:ind w:left="530" w:hanging="530"/>
      </w:pPr>
      <w:rPr>
        <w:rFonts w:cs="Times New Roman" w:hint="default"/>
        <w:color w:val="8F23B3"/>
        <w:sz w:val="52"/>
        <w:szCs w:val="44"/>
      </w:rPr>
    </w:lvl>
    <w:lvl w:ilvl="1">
      <w:start w:val="1"/>
      <w:numFmt w:val="decimal"/>
      <w:lvlText w:val="%1.%2"/>
      <w:lvlJc w:val="left"/>
      <w:pPr>
        <w:ind w:left="530" w:hanging="530"/>
      </w:pPr>
      <w:rPr>
        <w:rFonts w:ascii="Arial" w:hAnsi="Arial" w:cs="Arial" w:hint="default"/>
        <w:b w:val="0"/>
        <w:bCs/>
        <w:color w:val="8F23B3"/>
        <w:sz w:val="32"/>
        <w:szCs w:val="32"/>
      </w:rPr>
    </w:lvl>
    <w:lvl w:ilvl="2">
      <w:start w:val="1"/>
      <w:numFmt w:val="decimal"/>
      <w:lvlText w:val="%1.%2.%3"/>
      <w:lvlJc w:val="left"/>
      <w:pPr>
        <w:ind w:left="720" w:hanging="720"/>
      </w:pPr>
      <w:rPr>
        <w:rFonts w:ascii="Arial" w:hAnsi="Arial" w:cs="Arial" w:hint="default"/>
        <w:b w:val="0"/>
        <w:bCs/>
        <w:color w:val="8F23B3"/>
        <w:sz w:val="24"/>
        <w:szCs w:val="24"/>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7" w15:restartNumberingAfterBreak="0">
    <w:nsid w:val="7B4C5516"/>
    <w:multiLevelType w:val="hybridMultilevel"/>
    <w:tmpl w:val="86665F60"/>
    <w:lvl w:ilvl="0" w:tplc="45202A5A">
      <w:start w:val="1"/>
      <w:numFmt w:val="decimal"/>
      <w:lvlText w:val="%1."/>
      <w:lvlJc w:val="left"/>
      <w:pPr>
        <w:ind w:left="360" w:hanging="360"/>
      </w:pPr>
      <w:rPr>
        <w:i w:val="0"/>
        <w:iCs w:val="0"/>
      </w:rPr>
    </w:lvl>
    <w:lvl w:ilvl="1" w:tplc="B8144962">
      <w:start w:val="1"/>
      <w:numFmt w:val="decimal"/>
      <w:lvlText w:val="%2."/>
      <w:lvlJc w:val="left"/>
      <w:pPr>
        <w:ind w:left="502" w:hanging="360"/>
      </w:pPr>
      <w:rPr>
        <w:rFonts w:ascii="Arial" w:hAnsi="Arial" w:cs="Arial" w:hint="default"/>
        <w:sz w:val="24"/>
        <w:szCs w:val="24"/>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81D407F8">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8695557">
    <w:abstractNumId w:val="29"/>
  </w:num>
  <w:num w:numId="2" w16cid:durableId="704059227">
    <w:abstractNumId w:val="25"/>
  </w:num>
  <w:num w:numId="3" w16cid:durableId="759957325">
    <w:abstractNumId w:val="47"/>
  </w:num>
  <w:num w:numId="4" w16cid:durableId="1558471944">
    <w:abstractNumId w:val="33"/>
  </w:num>
  <w:num w:numId="5" w16cid:durableId="781799202">
    <w:abstractNumId w:val="11"/>
  </w:num>
  <w:num w:numId="6" w16cid:durableId="677543152">
    <w:abstractNumId w:val="0"/>
  </w:num>
  <w:num w:numId="7" w16cid:durableId="1610233513">
    <w:abstractNumId w:val="38"/>
  </w:num>
  <w:num w:numId="8" w16cid:durableId="1650092004">
    <w:abstractNumId w:val="40"/>
  </w:num>
  <w:num w:numId="9" w16cid:durableId="1888033421">
    <w:abstractNumId w:val="12"/>
  </w:num>
  <w:num w:numId="10" w16cid:durableId="1399280553">
    <w:abstractNumId w:val="1"/>
  </w:num>
  <w:num w:numId="11" w16cid:durableId="1309165472">
    <w:abstractNumId w:val="27"/>
  </w:num>
  <w:num w:numId="12" w16cid:durableId="344478077">
    <w:abstractNumId w:val="46"/>
  </w:num>
  <w:num w:numId="13" w16cid:durableId="1908104112">
    <w:abstractNumId w:val="2"/>
  </w:num>
  <w:num w:numId="14" w16cid:durableId="661202046">
    <w:abstractNumId w:val="3"/>
  </w:num>
  <w:num w:numId="15" w16cid:durableId="1004942308">
    <w:abstractNumId w:val="4"/>
  </w:num>
  <w:num w:numId="16" w16cid:durableId="1804689322">
    <w:abstractNumId w:val="21"/>
  </w:num>
  <w:num w:numId="17" w16cid:durableId="1050572976">
    <w:abstractNumId w:val="39"/>
  </w:num>
  <w:num w:numId="18" w16cid:durableId="1251041279">
    <w:abstractNumId w:val="26"/>
  </w:num>
  <w:num w:numId="19" w16cid:durableId="296567213">
    <w:abstractNumId w:val="20"/>
  </w:num>
  <w:num w:numId="20" w16cid:durableId="1550915579">
    <w:abstractNumId w:val="19"/>
  </w:num>
  <w:num w:numId="21" w16cid:durableId="506869708">
    <w:abstractNumId w:val="31"/>
  </w:num>
  <w:num w:numId="22" w16cid:durableId="1343318891">
    <w:abstractNumId w:val="8"/>
  </w:num>
  <w:num w:numId="23" w16cid:durableId="770777368">
    <w:abstractNumId w:val="34"/>
  </w:num>
  <w:num w:numId="24" w16cid:durableId="1400208046">
    <w:abstractNumId w:val="36"/>
  </w:num>
  <w:num w:numId="25" w16cid:durableId="1120412933">
    <w:abstractNumId w:val="30"/>
  </w:num>
  <w:num w:numId="26" w16cid:durableId="21205675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5794369">
    <w:abstractNumId w:val="15"/>
    <w:lvlOverride w:ilvl="0">
      <w:startOverride w:val="1"/>
    </w:lvlOverride>
    <w:lvlOverride w:ilvl="1"/>
    <w:lvlOverride w:ilvl="2"/>
    <w:lvlOverride w:ilvl="3"/>
    <w:lvlOverride w:ilvl="4"/>
    <w:lvlOverride w:ilvl="5"/>
    <w:lvlOverride w:ilvl="6"/>
    <w:lvlOverride w:ilvl="7"/>
    <w:lvlOverride w:ilvl="8"/>
  </w:num>
  <w:num w:numId="28" w16cid:durableId="1531340876">
    <w:abstractNumId w:val="16"/>
    <w:lvlOverride w:ilvl="0">
      <w:startOverride w:val="1"/>
    </w:lvlOverride>
    <w:lvlOverride w:ilvl="1"/>
    <w:lvlOverride w:ilvl="2"/>
    <w:lvlOverride w:ilvl="3"/>
    <w:lvlOverride w:ilvl="4"/>
    <w:lvlOverride w:ilvl="5"/>
    <w:lvlOverride w:ilvl="6"/>
    <w:lvlOverride w:ilvl="7"/>
    <w:lvlOverride w:ilvl="8"/>
  </w:num>
  <w:num w:numId="29" w16cid:durableId="217790565">
    <w:abstractNumId w:val="35"/>
    <w:lvlOverride w:ilvl="0">
      <w:startOverride w:val="1"/>
    </w:lvlOverride>
    <w:lvlOverride w:ilvl="1"/>
    <w:lvlOverride w:ilvl="2"/>
    <w:lvlOverride w:ilvl="3"/>
    <w:lvlOverride w:ilvl="4"/>
    <w:lvlOverride w:ilvl="5"/>
    <w:lvlOverride w:ilvl="6"/>
    <w:lvlOverride w:ilvl="7"/>
    <w:lvlOverride w:ilvl="8"/>
  </w:num>
  <w:num w:numId="30" w16cid:durableId="30782336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226256">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8097502">
    <w:abstractNumId w:val="6"/>
    <w:lvlOverride w:ilvl="0">
      <w:startOverride w:val="1"/>
    </w:lvlOverride>
    <w:lvlOverride w:ilvl="1"/>
    <w:lvlOverride w:ilvl="2"/>
    <w:lvlOverride w:ilvl="3"/>
    <w:lvlOverride w:ilvl="4"/>
    <w:lvlOverride w:ilvl="5"/>
    <w:lvlOverride w:ilvl="6"/>
    <w:lvlOverride w:ilvl="7"/>
    <w:lvlOverride w:ilvl="8"/>
  </w:num>
  <w:num w:numId="33" w16cid:durableId="1433890050">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622176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4721741">
    <w:abstractNumId w:val="22"/>
    <w:lvlOverride w:ilvl="0">
      <w:startOverride w:val="1"/>
    </w:lvlOverride>
    <w:lvlOverride w:ilvl="1"/>
    <w:lvlOverride w:ilvl="2"/>
    <w:lvlOverride w:ilvl="3"/>
    <w:lvlOverride w:ilvl="4"/>
    <w:lvlOverride w:ilvl="5"/>
    <w:lvlOverride w:ilvl="6"/>
    <w:lvlOverride w:ilvl="7"/>
    <w:lvlOverride w:ilvl="8"/>
  </w:num>
  <w:num w:numId="36" w16cid:durableId="1470242402">
    <w:abstractNumId w:val="28"/>
    <w:lvlOverride w:ilvl="0">
      <w:startOverride w:val="1"/>
    </w:lvlOverride>
    <w:lvlOverride w:ilvl="1"/>
    <w:lvlOverride w:ilvl="2"/>
    <w:lvlOverride w:ilvl="3"/>
    <w:lvlOverride w:ilvl="4"/>
    <w:lvlOverride w:ilvl="5"/>
    <w:lvlOverride w:ilvl="6"/>
    <w:lvlOverride w:ilvl="7"/>
    <w:lvlOverride w:ilvl="8"/>
  </w:num>
  <w:num w:numId="37" w16cid:durableId="1317801758">
    <w:abstractNumId w:val="32"/>
  </w:num>
  <w:num w:numId="38" w16cid:durableId="744767179">
    <w:abstractNumId w:val="24"/>
  </w:num>
  <w:num w:numId="39" w16cid:durableId="1079404364">
    <w:abstractNumId w:val="44"/>
  </w:num>
  <w:num w:numId="40" w16cid:durableId="438985511">
    <w:abstractNumId w:val="7"/>
  </w:num>
  <w:num w:numId="41" w16cid:durableId="401100843">
    <w:abstractNumId w:val="14"/>
  </w:num>
  <w:num w:numId="42" w16cid:durableId="1053234551">
    <w:abstractNumId w:val="18"/>
  </w:num>
  <w:num w:numId="43" w16cid:durableId="716318580">
    <w:abstractNumId w:val="41"/>
  </w:num>
  <w:num w:numId="44" w16cid:durableId="1285163076">
    <w:abstractNumId w:val="42"/>
  </w:num>
  <w:num w:numId="45" w16cid:durableId="1256935327">
    <w:abstractNumId w:val="37"/>
  </w:num>
  <w:num w:numId="46" w16cid:durableId="1041444391">
    <w:abstractNumId w:val="5"/>
  </w:num>
  <w:num w:numId="47" w16cid:durableId="1295258724">
    <w:abstractNumId w:val="45"/>
  </w:num>
  <w:num w:numId="48" w16cid:durableId="78408096">
    <w:abstractNumId w:val="43"/>
  </w:num>
  <w:num w:numId="49" w16cid:durableId="485900761">
    <w:abstractNumId w:val="17"/>
  </w:num>
  <w:num w:numId="50" w16cid:durableId="106510827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50"/>
    <w:rsid w:val="00000708"/>
    <w:rsid w:val="00003440"/>
    <w:rsid w:val="00003BD3"/>
    <w:rsid w:val="00004799"/>
    <w:rsid w:val="00006CBB"/>
    <w:rsid w:val="00007225"/>
    <w:rsid w:val="00007875"/>
    <w:rsid w:val="00007939"/>
    <w:rsid w:val="00010208"/>
    <w:rsid w:val="000118E8"/>
    <w:rsid w:val="00013E75"/>
    <w:rsid w:val="000153EF"/>
    <w:rsid w:val="000153F0"/>
    <w:rsid w:val="00016DB7"/>
    <w:rsid w:val="00017593"/>
    <w:rsid w:val="00017916"/>
    <w:rsid w:val="0002047A"/>
    <w:rsid w:val="000204FC"/>
    <w:rsid w:val="00020534"/>
    <w:rsid w:val="00021859"/>
    <w:rsid w:val="00021BBB"/>
    <w:rsid w:val="00021F27"/>
    <w:rsid w:val="000233EF"/>
    <w:rsid w:val="000245D1"/>
    <w:rsid w:val="0002465B"/>
    <w:rsid w:val="000248E4"/>
    <w:rsid w:val="0002571D"/>
    <w:rsid w:val="00027643"/>
    <w:rsid w:val="00027D01"/>
    <w:rsid w:val="0003001E"/>
    <w:rsid w:val="00031A41"/>
    <w:rsid w:val="00031DFD"/>
    <w:rsid w:val="00032585"/>
    <w:rsid w:val="00035D7F"/>
    <w:rsid w:val="00036359"/>
    <w:rsid w:val="00036FD0"/>
    <w:rsid w:val="00037070"/>
    <w:rsid w:val="000372C8"/>
    <w:rsid w:val="000375C5"/>
    <w:rsid w:val="00037709"/>
    <w:rsid w:val="0004007E"/>
    <w:rsid w:val="000400BC"/>
    <w:rsid w:val="00040D82"/>
    <w:rsid w:val="00040DA5"/>
    <w:rsid w:val="00041605"/>
    <w:rsid w:val="00041EDF"/>
    <w:rsid w:val="00042540"/>
    <w:rsid w:val="0004282B"/>
    <w:rsid w:val="0004407D"/>
    <w:rsid w:val="00044EB9"/>
    <w:rsid w:val="000460B3"/>
    <w:rsid w:val="00046BC8"/>
    <w:rsid w:val="00047326"/>
    <w:rsid w:val="0004774A"/>
    <w:rsid w:val="000505FE"/>
    <w:rsid w:val="00050EAB"/>
    <w:rsid w:val="000513B8"/>
    <w:rsid w:val="00051B92"/>
    <w:rsid w:val="00053E6A"/>
    <w:rsid w:val="00054002"/>
    <w:rsid w:val="000542D2"/>
    <w:rsid w:val="0005536B"/>
    <w:rsid w:val="000554DC"/>
    <w:rsid w:val="00062C4E"/>
    <w:rsid w:val="00062F25"/>
    <w:rsid w:val="00063BB6"/>
    <w:rsid w:val="00065D0E"/>
    <w:rsid w:val="0006666C"/>
    <w:rsid w:val="00067086"/>
    <w:rsid w:val="000708C6"/>
    <w:rsid w:val="00071910"/>
    <w:rsid w:val="00071D0D"/>
    <w:rsid w:val="00071FB1"/>
    <w:rsid w:val="00074D11"/>
    <w:rsid w:val="00075C2D"/>
    <w:rsid w:val="000766B3"/>
    <w:rsid w:val="00077A3E"/>
    <w:rsid w:val="0008074B"/>
    <w:rsid w:val="00081109"/>
    <w:rsid w:val="00082A8B"/>
    <w:rsid w:val="00082D63"/>
    <w:rsid w:val="00083703"/>
    <w:rsid w:val="00084989"/>
    <w:rsid w:val="00084DA3"/>
    <w:rsid w:val="000851D3"/>
    <w:rsid w:val="0008531D"/>
    <w:rsid w:val="00085AA0"/>
    <w:rsid w:val="00085D2A"/>
    <w:rsid w:val="00086A7E"/>
    <w:rsid w:val="00090EEC"/>
    <w:rsid w:val="00092242"/>
    <w:rsid w:val="00092632"/>
    <w:rsid w:val="00094D6B"/>
    <w:rsid w:val="000953A3"/>
    <w:rsid w:val="00096481"/>
    <w:rsid w:val="000966FD"/>
    <w:rsid w:val="00096FBD"/>
    <w:rsid w:val="00097000"/>
    <w:rsid w:val="00097AB0"/>
    <w:rsid w:val="00097C6D"/>
    <w:rsid w:val="000A000A"/>
    <w:rsid w:val="000A0209"/>
    <w:rsid w:val="000A035F"/>
    <w:rsid w:val="000A0559"/>
    <w:rsid w:val="000A114F"/>
    <w:rsid w:val="000A39B1"/>
    <w:rsid w:val="000A6B5C"/>
    <w:rsid w:val="000A71DD"/>
    <w:rsid w:val="000A7356"/>
    <w:rsid w:val="000A7F90"/>
    <w:rsid w:val="000B036D"/>
    <w:rsid w:val="000B07DD"/>
    <w:rsid w:val="000B0B88"/>
    <w:rsid w:val="000B17F3"/>
    <w:rsid w:val="000B3A08"/>
    <w:rsid w:val="000B4609"/>
    <w:rsid w:val="000B4613"/>
    <w:rsid w:val="000B4BFD"/>
    <w:rsid w:val="000B6796"/>
    <w:rsid w:val="000B7858"/>
    <w:rsid w:val="000C1CD3"/>
    <w:rsid w:val="000C21BA"/>
    <w:rsid w:val="000C2B63"/>
    <w:rsid w:val="000C2F40"/>
    <w:rsid w:val="000C43F1"/>
    <w:rsid w:val="000C4D6A"/>
    <w:rsid w:val="000C4FF9"/>
    <w:rsid w:val="000C5EF0"/>
    <w:rsid w:val="000C7BBF"/>
    <w:rsid w:val="000D062D"/>
    <w:rsid w:val="000D22D5"/>
    <w:rsid w:val="000D2A71"/>
    <w:rsid w:val="000D3F31"/>
    <w:rsid w:val="000D5EAD"/>
    <w:rsid w:val="000D64E2"/>
    <w:rsid w:val="000D69FD"/>
    <w:rsid w:val="000D7323"/>
    <w:rsid w:val="000E00D5"/>
    <w:rsid w:val="000E33D4"/>
    <w:rsid w:val="000E494F"/>
    <w:rsid w:val="000E5CFB"/>
    <w:rsid w:val="000E6405"/>
    <w:rsid w:val="000E6B8E"/>
    <w:rsid w:val="000E6D3B"/>
    <w:rsid w:val="000E6E73"/>
    <w:rsid w:val="000E7817"/>
    <w:rsid w:val="000F0928"/>
    <w:rsid w:val="000F0F46"/>
    <w:rsid w:val="000F30EB"/>
    <w:rsid w:val="000F4039"/>
    <w:rsid w:val="000F42DC"/>
    <w:rsid w:val="000F6BC0"/>
    <w:rsid w:val="000F72B4"/>
    <w:rsid w:val="000F76D1"/>
    <w:rsid w:val="00100513"/>
    <w:rsid w:val="0010059B"/>
    <w:rsid w:val="001011E3"/>
    <w:rsid w:val="001014D3"/>
    <w:rsid w:val="00101965"/>
    <w:rsid w:val="00103AA1"/>
    <w:rsid w:val="00104350"/>
    <w:rsid w:val="00104DDD"/>
    <w:rsid w:val="001058CE"/>
    <w:rsid w:val="0010625A"/>
    <w:rsid w:val="0010675D"/>
    <w:rsid w:val="00106F35"/>
    <w:rsid w:val="001077D6"/>
    <w:rsid w:val="00107E1A"/>
    <w:rsid w:val="00110124"/>
    <w:rsid w:val="001113D8"/>
    <w:rsid w:val="00112CAD"/>
    <w:rsid w:val="001151A2"/>
    <w:rsid w:val="00115432"/>
    <w:rsid w:val="00115F5E"/>
    <w:rsid w:val="001179D9"/>
    <w:rsid w:val="0012097A"/>
    <w:rsid w:val="001216C5"/>
    <w:rsid w:val="00122CFE"/>
    <w:rsid w:val="00122F39"/>
    <w:rsid w:val="0012343E"/>
    <w:rsid w:val="00124D2D"/>
    <w:rsid w:val="001262A4"/>
    <w:rsid w:val="001270EA"/>
    <w:rsid w:val="001302DF"/>
    <w:rsid w:val="0013087A"/>
    <w:rsid w:val="00130E87"/>
    <w:rsid w:val="00131B30"/>
    <w:rsid w:val="00131CA1"/>
    <w:rsid w:val="00131D1B"/>
    <w:rsid w:val="00131FA5"/>
    <w:rsid w:val="00131FDE"/>
    <w:rsid w:val="00132A00"/>
    <w:rsid w:val="00132D45"/>
    <w:rsid w:val="001336E4"/>
    <w:rsid w:val="00133D3C"/>
    <w:rsid w:val="001341F3"/>
    <w:rsid w:val="00134290"/>
    <w:rsid w:val="00134326"/>
    <w:rsid w:val="00134AEC"/>
    <w:rsid w:val="00134B32"/>
    <w:rsid w:val="0013541D"/>
    <w:rsid w:val="00135E8F"/>
    <w:rsid w:val="00136605"/>
    <w:rsid w:val="00136B5A"/>
    <w:rsid w:val="00137F43"/>
    <w:rsid w:val="001408CE"/>
    <w:rsid w:val="001409F2"/>
    <w:rsid w:val="00140C04"/>
    <w:rsid w:val="00143073"/>
    <w:rsid w:val="00143B01"/>
    <w:rsid w:val="00143D21"/>
    <w:rsid w:val="00144A25"/>
    <w:rsid w:val="001464A5"/>
    <w:rsid w:val="001466C9"/>
    <w:rsid w:val="0014778B"/>
    <w:rsid w:val="0015142C"/>
    <w:rsid w:val="0015194D"/>
    <w:rsid w:val="001523E7"/>
    <w:rsid w:val="001533EB"/>
    <w:rsid w:val="00153FFC"/>
    <w:rsid w:val="00154CEE"/>
    <w:rsid w:val="001554FE"/>
    <w:rsid w:val="001601A0"/>
    <w:rsid w:val="00161501"/>
    <w:rsid w:val="001619FE"/>
    <w:rsid w:val="0016240E"/>
    <w:rsid w:val="00162AC9"/>
    <w:rsid w:val="00162CE8"/>
    <w:rsid w:val="00162E73"/>
    <w:rsid w:val="00164774"/>
    <w:rsid w:val="00166614"/>
    <w:rsid w:val="00166648"/>
    <w:rsid w:val="00166E65"/>
    <w:rsid w:val="00167D19"/>
    <w:rsid w:val="00171357"/>
    <w:rsid w:val="0017171C"/>
    <w:rsid w:val="00173CDE"/>
    <w:rsid w:val="00174550"/>
    <w:rsid w:val="00174607"/>
    <w:rsid w:val="00174898"/>
    <w:rsid w:val="00175B58"/>
    <w:rsid w:val="0017658A"/>
    <w:rsid w:val="00177F88"/>
    <w:rsid w:val="00180564"/>
    <w:rsid w:val="0018112C"/>
    <w:rsid w:val="00181D20"/>
    <w:rsid w:val="00182F81"/>
    <w:rsid w:val="00183D13"/>
    <w:rsid w:val="00184224"/>
    <w:rsid w:val="00187F7E"/>
    <w:rsid w:val="0019172D"/>
    <w:rsid w:val="00191BD0"/>
    <w:rsid w:val="00191DA6"/>
    <w:rsid w:val="00191F09"/>
    <w:rsid w:val="00192230"/>
    <w:rsid w:val="00195080"/>
    <w:rsid w:val="00196D00"/>
    <w:rsid w:val="00197250"/>
    <w:rsid w:val="00197341"/>
    <w:rsid w:val="00197B4B"/>
    <w:rsid w:val="001A0330"/>
    <w:rsid w:val="001A2590"/>
    <w:rsid w:val="001A28F4"/>
    <w:rsid w:val="001A4A9E"/>
    <w:rsid w:val="001A4D21"/>
    <w:rsid w:val="001A6463"/>
    <w:rsid w:val="001A7BE7"/>
    <w:rsid w:val="001A7F2C"/>
    <w:rsid w:val="001B0077"/>
    <w:rsid w:val="001B034C"/>
    <w:rsid w:val="001B2F02"/>
    <w:rsid w:val="001B38D7"/>
    <w:rsid w:val="001B3B42"/>
    <w:rsid w:val="001B3BC9"/>
    <w:rsid w:val="001B45AF"/>
    <w:rsid w:val="001B51A4"/>
    <w:rsid w:val="001B7840"/>
    <w:rsid w:val="001C277C"/>
    <w:rsid w:val="001C284D"/>
    <w:rsid w:val="001C3FA5"/>
    <w:rsid w:val="001C483B"/>
    <w:rsid w:val="001C6B2E"/>
    <w:rsid w:val="001C6D77"/>
    <w:rsid w:val="001D0EF7"/>
    <w:rsid w:val="001D0EFF"/>
    <w:rsid w:val="001D1C00"/>
    <w:rsid w:val="001D1F94"/>
    <w:rsid w:val="001D25C6"/>
    <w:rsid w:val="001D36B2"/>
    <w:rsid w:val="001D4A47"/>
    <w:rsid w:val="001D5358"/>
    <w:rsid w:val="001D78C3"/>
    <w:rsid w:val="001D79F3"/>
    <w:rsid w:val="001E0E15"/>
    <w:rsid w:val="001E2007"/>
    <w:rsid w:val="001E22C7"/>
    <w:rsid w:val="001E2687"/>
    <w:rsid w:val="001E4F54"/>
    <w:rsid w:val="001E5912"/>
    <w:rsid w:val="001E66E2"/>
    <w:rsid w:val="001E698B"/>
    <w:rsid w:val="001E7F12"/>
    <w:rsid w:val="001F1892"/>
    <w:rsid w:val="001F30A5"/>
    <w:rsid w:val="001F5BE7"/>
    <w:rsid w:val="001F5DA1"/>
    <w:rsid w:val="001F6675"/>
    <w:rsid w:val="001F7143"/>
    <w:rsid w:val="001F7B95"/>
    <w:rsid w:val="001F7CF4"/>
    <w:rsid w:val="002028FF"/>
    <w:rsid w:val="002035EA"/>
    <w:rsid w:val="0020398D"/>
    <w:rsid w:val="002045DA"/>
    <w:rsid w:val="00206232"/>
    <w:rsid w:val="002065E5"/>
    <w:rsid w:val="002070B5"/>
    <w:rsid w:val="00207223"/>
    <w:rsid w:val="0021022D"/>
    <w:rsid w:val="002103CA"/>
    <w:rsid w:val="00212794"/>
    <w:rsid w:val="0021318A"/>
    <w:rsid w:val="0021365E"/>
    <w:rsid w:val="0021420B"/>
    <w:rsid w:val="00214294"/>
    <w:rsid w:val="00214DAA"/>
    <w:rsid w:val="00216869"/>
    <w:rsid w:val="00216985"/>
    <w:rsid w:val="00217707"/>
    <w:rsid w:val="002213EE"/>
    <w:rsid w:val="00221E41"/>
    <w:rsid w:val="00221F79"/>
    <w:rsid w:val="0022212A"/>
    <w:rsid w:val="002223C9"/>
    <w:rsid w:val="0022409D"/>
    <w:rsid w:val="00224E4A"/>
    <w:rsid w:val="002252DC"/>
    <w:rsid w:val="00225DB9"/>
    <w:rsid w:val="00225FEC"/>
    <w:rsid w:val="00226F3C"/>
    <w:rsid w:val="002271A0"/>
    <w:rsid w:val="00227BBD"/>
    <w:rsid w:val="00227E7F"/>
    <w:rsid w:val="00230153"/>
    <w:rsid w:val="0023062F"/>
    <w:rsid w:val="002310A3"/>
    <w:rsid w:val="00231214"/>
    <w:rsid w:val="00231824"/>
    <w:rsid w:val="002323E4"/>
    <w:rsid w:val="00233B5F"/>
    <w:rsid w:val="00234D46"/>
    <w:rsid w:val="002354CC"/>
    <w:rsid w:val="00236217"/>
    <w:rsid w:val="00237909"/>
    <w:rsid w:val="002409FE"/>
    <w:rsid w:val="0024138F"/>
    <w:rsid w:val="00241490"/>
    <w:rsid w:val="00243D1E"/>
    <w:rsid w:val="00244CFD"/>
    <w:rsid w:val="00245E72"/>
    <w:rsid w:val="00246116"/>
    <w:rsid w:val="0024672C"/>
    <w:rsid w:val="00247529"/>
    <w:rsid w:val="002504EC"/>
    <w:rsid w:val="00251355"/>
    <w:rsid w:val="002524F5"/>
    <w:rsid w:val="00252EAC"/>
    <w:rsid w:val="002533C7"/>
    <w:rsid w:val="002533D8"/>
    <w:rsid w:val="00254020"/>
    <w:rsid w:val="00254A57"/>
    <w:rsid w:val="0025501F"/>
    <w:rsid w:val="0025731F"/>
    <w:rsid w:val="0025782F"/>
    <w:rsid w:val="002606FC"/>
    <w:rsid w:val="00263F87"/>
    <w:rsid w:val="00264264"/>
    <w:rsid w:val="0026457A"/>
    <w:rsid w:val="00264D1F"/>
    <w:rsid w:val="002714AA"/>
    <w:rsid w:val="00273BA8"/>
    <w:rsid w:val="00273E60"/>
    <w:rsid w:val="00276A32"/>
    <w:rsid w:val="0027712E"/>
    <w:rsid w:val="002771FF"/>
    <w:rsid w:val="00277278"/>
    <w:rsid w:val="00277E08"/>
    <w:rsid w:val="00280489"/>
    <w:rsid w:val="00281699"/>
    <w:rsid w:val="00281E3D"/>
    <w:rsid w:val="00282FCC"/>
    <w:rsid w:val="002839AE"/>
    <w:rsid w:val="00284155"/>
    <w:rsid w:val="00286093"/>
    <w:rsid w:val="00287672"/>
    <w:rsid w:val="00287FB1"/>
    <w:rsid w:val="0029054A"/>
    <w:rsid w:val="00290755"/>
    <w:rsid w:val="002918C4"/>
    <w:rsid w:val="0029249E"/>
    <w:rsid w:val="002926DF"/>
    <w:rsid w:val="00293BC0"/>
    <w:rsid w:val="00293FC3"/>
    <w:rsid w:val="00294E2D"/>
    <w:rsid w:val="00295F0A"/>
    <w:rsid w:val="002960A7"/>
    <w:rsid w:val="002961D4"/>
    <w:rsid w:val="00296AE7"/>
    <w:rsid w:val="0029713B"/>
    <w:rsid w:val="002A0699"/>
    <w:rsid w:val="002A1E3A"/>
    <w:rsid w:val="002A20C9"/>
    <w:rsid w:val="002A21DE"/>
    <w:rsid w:val="002A3E27"/>
    <w:rsid w:val="002A4238"/>
    <w:rsid w:val="002A4252"/>
    <w:rsid w:val="002A5BDA"/>
    <w:rsid w:val="002B1296"/>
    <w:rsid w:val="002B2F45"/>
    <w:rsid w:val="002B42DA"/>
    <w:rsid w:val="002B590B"/>
    <w:rsid w:val="002B5951"/>
    <w:rsid w:val="002B6153"/>
    <w:rsid w:val="002B6257"/>
    <w:rsid w:val="002B6AF8"/>
    <w:rsid w:val="002B6EA4"/>
    <w:rsid w:val="002B78EC"/>
    <w:rsid w:val="002C0224"/>
    <w:rsid w:val="002C14AF"/>
    <w:rsid w:val="002C1B7B"/>
    <w:rsid w:val="002C28C0"/>
    <w:rsid w:val="002C3CD6"/>
    <w:rsid w:val="002C4FF0"/>
    <w:rsid w:val="002C7C83"/>
    <w:rsid w:val="002D2CCA"/>
    <w:rsid w:val="002D432F"/>
    <w:rsid w:val="002D48CA"/>
    <w:rsid w:val="002D49E1"/>
    <w:rsid w:val="002D4F9E"/>
    <w:rsid w:val="002D571E"/>
    <w:rsid w:val="002E032B"/>
    <w:rsid w:val="002E1392"/>
    <w:rsid w:val="002E2E73"/>
    <w:rsid w:val="002E3470"/>
    <w:rsid w:val="002E3728"/>
    <w:rsid w:val="002E4005"/>
    <w:rsid w:val="002E518B"/>
    <w:rsid w:val="002E5193"/>
    <w:rsid w:val="002E6493"/>
    <w:rsid w:val="002F0D41"/>
    <w:rsid w:val="002F0E77"/>
    <w:rsid w:val="002F22F9"/>
    <w:rsid w:val="002F2546"/>
    <w:rsid w:val="002F4639"/>
    <w:rsid w:val="002F76C6"/>
    <w:rsid w:val="002F7B92"/>
    <w:rsid w:val="002F7C59"/>
    <w:rsid w:val="00302931"/>
    <w:rsid w:val="0030304B"/>
    <w:rsid w:val="00303BB2"/>
    <w:rsid w:val="00303BC6"/>
    <w:rsid w:val="00303CBF"/>
    <w:rsid w:val="00303FB4"/>
    <w:rsid w:val="00305158"/>
    <w:rsid w:val="00305750"/>
    <w:rsid w:val="00305883"/>
    <w:rsid w:val="00305D31"/>
    <w:rsid w:val="00306323"/>
    <w:rsid w:val="00306AA4"/>
    <w:rsid w:val="0030787A"/>
    <w:rsid w:val="00311955"/>
    <w:rsid w:val="003127CB"/>
    <w:rsid w:val="00312C1F"/>
    <w:rsid w:val="00315F82"/>
    <w:rsid w:val="003161F8"/>
    <w:rsid w:val="0031799E"/>
    <w:rsid w:val="00320ED2"/>
    <w:rsid w:val="003210CB"/>
    <w:rsid w:val="0032119C"/>
    <w:rsid w:val="00323F2F"/>
    <w:rsid w:val="00326210"/>
    <w:rsid w:val="003268A0"/>
    <w:rsid w:val="0033154D"/>
    <w:rsid w:val="00331AD4"/>
    <w:rsid w:val="003324B2"/>
    <w:rsid w:val="0033367D"/>
    <w:rsid w:val="00335186"/>
    <w:rsid w:val="00336768"/>
    <w:rsid w:val="00337781"/>
    <w:rsid w:val="00337F20"/>
    <w:rsid w:val="00342688"/>
    <w:rsid w:val="00344BAF"/>
    <w:rsid w:val="00345265"/>
    <w:rsid w:val="00345E6E"/>
    <w:rsid w:val="003478AF"/>
    <w:rsid w:val="00350409"/>
    <w:rsid w:val="003519C1"/>
    <w:rsid w:val="00352849"/>
    <w:rsid w:val="0035385E"/>
    <w:rsid w:val="00353C0E"/>
    <w:rsid w:val="00354020"/>
    <w:rsid w:val="003547E7"/>
    <w:rsid w:val="0035489E"/>
    <w:rsid w:val="00355D75"/>
    <w:rsid w:val="0035650B"/>
    <w:rsid w:val="003608D8"/>
    <w:rsid w:val="00361FD6"/>
    <w:rsid w:val="00363829"/>
    <w:rsid w:val="00365628"/>
    <w:rsid w:val="0036622F"/>
    <w:rsid w:val="003668FE"/>
    <w:rsid w:val="00373E84"/>
    <w:rsid w:val="00373ED8"/>
    <w:rsid w:val="00375BF7"/>
    <w:rsid w:val="003778C7"/>
    <w:rsid w:val="00377E2C"/>
    <w:rsid w:val="00377FD3"/>
    <w:rsid w:val="003802AC"/>
    <w:rsid w:val="003812BC"/>
    <w:rsid w:val="003822B9"/>
    <w:rsid w:val="0038269B"/>
    <w:rsid w:val="00384816"/>
    <w:rsid w:val="00384D0C"/>
    <w:rsid w:val="0038597A"/>
    <w:rsid w:val="003866CE"/>
    <w:rsid w:val="00386F8B"/>
    <w:rsid w:val="00387396"/>
    <w:rsid w:val="003874B6"/>
    <w:rsid w:val="0039043F"/>
    <w:rsid w:val="003905EE"/>
    <w:rsid w:val="00390A63"/>
    <w:rsid w:val="00392E8E"/>
    <w:rsid w:val="00393197"/>
    <w:rsid w:val="0039343B"/>
    <w:rsid w:val="00393BCA"/>
    <w:rsid w:val="003943F1"/>
    <w:rsid w:val="00395238"/>
    <w:rsid w:val="00395931"/>
    <w:rsid w:val="00395E9A"/>
    <w:rsid w:val="00395EF6"/>
    <w:rsid w:val="003A095F"/>
    <w:rsid w:val="003A0DB4"/>
    <w:rsid w:val="003A2592"/>
    <w:rsid w:val="003A31F2"/>
    <w:rsid w:val="003A446B"/>
    <w:rsid w:val="003A4E4B"/>
    <w:rsid w:val="003A4FF6"/>
    <w:rsid w:val="003A76B2"/>
    <w:rsid w:val="003A7702"/>
    <w:rsid w:val="003A780E"/>
    <w:rsid w:val="003A7F4C"/>
    <w:rsid w:val="003B1474"/>
    <w:rsid w:val="003B2445"/>
    <w:rsid w:val="003B249A"/>
    <w:rsid w:val="003B32DF"/>
    <w:rsid w:val="003B4034"/>
    <w:rsid w:val="003B41D6"/>
    <w:rsid w:val="003B5BCD"/>
    <w:rsid w:val="003B6A2A"/>
    <w:rsid w:val="003B791B"/>
    <w:rsid w:val="003B7D81"/>
    <w:rsid w:val="003C1994"/>
    <w:rsid w:val="003C2580"/>
    <w:rsid w:val="003C377A"/>
    <w:rsid w:val="003C4E2B"/>
    <w:rsid w:val="003C68B6"/>
    <w:rsid w:val="003C6D3A"/>
    <w:rsid w:val="003C72B8"/>
    <w:rsid w:val="003D077C"/>
    <w:rsid w:val="003D0C28"/>
    <w:rsid w:val="003D1C3E"/>
    <w:rsid w:val="003D260C"/>
    <w:rsid w:val="003D33D7"/>
    <w:rsid w:val="003D3E14"/>
    <w:rsid w:val="003D5209"/>
    <w:rsid w:val="003D690D"/>
    <w:rsid w:val="003D7E38"/>
    <w:rsid w:val="003D7F9A"/>
    <w:rsid w:val="003E0617"/>
    <w:rsid w:val="003E11C1"/>
    <w:rsid w:val="003E1660"/>
    <w:rsid w:val="003E2B0D"/>
    <w:rsid w:val="003E3E84"/>
    <w:rsid w:val="003E45D8"/>
    <w:rsid w:val="003E4845"/>
    <w:rsid w:val="003E67FA"/>
    <w:rsid w:val="003E68C7"/>
    <w:rsid w:val="003E7481"/>
    <w:rsid w:val="003E7C47"/>
    <w:rsid w:val="003F1D18"/>
    <w:rsid w:val="003F20FD"/>
    <w:rsid w:val="003F2B1B"/>
    <w:rsid w:val="003F34F1"/>
    <w:rsid w:val="003F3E2F"/>
    <w:rsid w:val="003F5C3E"/>
    <w:rsid w:val="003F5D1A"/>
    <w:rsid w:val="003F6063"/>
    <w:rsid w:val="003F6B24"/>
    <w:rsid w:val="003F6D50"/>
    <w:rsid w:val="004008FD"/>
    <w:rsid w:val="0040141D"/>
    <w:rsid w:val="00402CE1"/>
    <w:rsid w:val="00403947"/>
    <w:rsid w:val="00403A43"/>
    <w:rsid w:val="00404D97"/>
    <w:rsid w:val="00410D86"/>
    <w:rsid w:val="004114D9"/>
    <w:rsid w:val="0041167E"/>
    <w:rsid w:val="0041246A"/>
    <w:rsid w:val="00412A77"/>
    <w:rsid w:val="00412CE9"/>
    <w:rsid w:val="00414A18"/>
    <w:rsid w:val="00414C2F"/>
    <w:rsid w:val="0041662C"/>
    <w:rsid w:val="00416F23"/>
    <w:rsid w:val="0041772F"/>
    <w:rsid w:val="00417FFC"/>
    <w:rsid w:val="00422CDD"/>
    <w:rsid w:val="00423AD9"/>
    <w:rsid w:val="004244CE"/>
    <w:rsid w:val="004255C0"/>
    <w:rsid w:val="00426189"/>
    <w:rsid w:val="00426939"/>
    <w:rsid w:val="00427288"/>
    <w:rsid w:val="00433B47"/>
    <w:rsid w:val="00433D7B"/>
    <w:rsid w:val="00434953"/>
    <w:rsid w:val="004352F1"/>
    <w:rsid w:val="00435873"/>
    <w:rsid w:val="00436C24"/>
    <w:rsid w:val="00436F97"/>
    <w:rsid w:val="00437D08"/>
    <w:rsid w:val="00440422"/>
    <w:rsid w:val="0044078D"/>
    <w:rsid w:val="00441BE8"/>
    <w:rsid w:val="00441C97"/>
    <w:rsid w:val="00442F2B"/>
    <w:rsid w:val="0044328C"/>
    <w:rsid w:val="00443826"/>
    <w:rsid w:val="00443960"/>
    <w:rsid w:val="00445238"/>
    <w:rsid w:val="00445CA7"/>
    <w:rsid w:val="004469A0"/>
    <w:rsid w:val="00447B93"/>
    <w:rsid w:val="00450449"/>
    <w:rsid w:val="004516B3"/>
    <w:rsid w:val="00451911"/>
    <w:rsid w:val="004529DF"/>
    <w:rsid w:val="00453E11"/>
    <w:rsid w:val="004541DF"/>
    <w:rsid w:val="004545F2"/>
    <w:rsid w:val="00454E03"/>
    <w:rsid w:val="004568FF"/>
    <w:rsid w:val="00456FA9"/>
    <w:rsid w:val="00457D21"/>
    <w:rsid w:val="00457FD5"/>
    <w:rsid w:val="00460373"/>
    <w:rsid w:val="00461EDC"/>
    <w:rsid w:val="00462137"/>
    <w:rsid w:val="00462846"/>
    <w:rsid w:val="00463980"/>
    <w:rsid w:val="00463C1C"/>
    <w:rsid w:val="00463D88"/>
    <w:rsid w:val="00467914"/>
    <w:rsid w:val="00471753"/>
    <w:rsid w:val="00471F06"/>
    <w:rsid w:val="00473B41"/>
    <w:rsid w:val="00474445"/>
    <w:rsid w:val="00474E33"/>
    <w:rsid w:val="00475E3E"/>
    <w:rsid w:val="00477277"/>
    <w:rsid w:val="0048001F"/>
    <w:rsid w:val="00481100"/>
    <w:rsid w:val="004845D0"/>
    <w:rsid w:val="0048511D"/>
    <w:rsid w:val="0048528A"/>
    <w:rsid w:val="004856D1"/>
    <w:rsid w:val="00485A3B"/>
    <w:rsid w:val="0048733E"/>
    <w:rsid w:val="0048743C"/>
    <w:rsid w:val="00490AD4"/>
    <w:rsid w:val="00491495"/>
    <w:rsid w:val="00493174"/>
    <w:rsid w:val="004936B8"/>
    <w:rsid w:val="004A131C"/>
    <w:rsid w:val="004A2051"/>
    <w:rsid w:val="004A37C1"/>
    <w:rsid w:val="004A40E8"/>
    <w:rsid w:val="004A44A7"/>
    <w:rsid w:val="004A4AB5"/>
    <w:rsid w:val="004A4BFB"/>
    <w:rsid w:val="004A4E68"/>
    <w:rsid w:val="004A5112"/>
    <w:rsid w:val="004A5FEA"/>
    <w:rsid w:val="004A6925"/>
    <w:rsid w:val="004A6B87"/>
    <w:rsid w:val="004A7B48"/>
    <w:rsid w:val="004C0A23"/>
    <w:rsid w:val="004C149F"/>
    <w:rsid w:val="004C1D5B"/>
    <w:rsid w:val="004C26BA"/>
    <w:rsid w:val="004C3659"/>
    <w:rsid w:val="004C4092"/>
    <w:rsid w:val="004C4DF5"/>
    <w:rsid w:val="004C54A1"/>
    <w:rsid w:val="004C5503"/>
    <w:rsid w:val="004C75D1"/>
    <w:rsid w:val="004C76DF"/>
    <w:rsid w:val="004C79A1"/>
    <w:rsid w:val="004D09B3"/>
    <w:rsid w:val="004D10E5"/>
    <w:rsid w:val="004D3C04"/>
    <w:rsid w:val="004D4BA4"/>
    <w:rsid w:val="004D67CE"/>
    <w:rsid w:val="004D6A58"/>
    <w:rsid w:val="004D718E"/>
    <w:rsid w:val="004E1DC4"/>
    <w:rsid w:val="004E31CC"/>
    <w:rsid w:val="004E37CC"/>
    <w:rsid w:val="004E396E"/>
    <w:rsid w:val="004E5B0D"/>
    <w:rsid w:val="004E6120"/>
    <w:rsid w:val="004E6619"/>
    <w:rsid w:val="004E69BE"/>
    <w:rsid w:val="004E6F72"/>
    <w:rsid w:val="004E72BD"/>
    <w:rsid w:val="004F0840"/>
    <w:rsid w:val="004F0E0D"/>
    <w:rsid w:val="004F105D"/>
    <w:rsid w:val="004F1F9C"/>
    <w:rsid w:val="004F2933"/>
    <w:rsid w:val="004F3697"/>
    <w:rsid w:val="004F3EE5"/>
    <w:rsid w:val="004F5FD3"/>
    <w:rsid w:val="004F6F85"/>
    <w:rsid w:val="00501D57"/>
    <w:rsid w:val="0050214C"/>
    <w:rsid w:val="00504092"/>
    <w:rsid w:val="00505CFA"/>
    <w:rsid w:val="00506151"/>
    <w:rsid w:val="00506D35"/>
    <w:rsid w:val="0050721D"/>
    <w:rsid w:val="00511110"/>
    <w:rsid w:val="0051319B"/>
    <w:rsid w:val="0051362D"/>
    <w:rsid w:val="00513F51"/>
    <w:rsid w:val="00515263"/>
    <w:rsid w:val="00515A0B"/>
    <w:rsid w:val="00515E28"/>
    <w:rsid w:val="00517D77"/>
    <w:rsid w:val="00517EED"/>
    <w:rsid w:val="00517F9E"/>
    <w:rsid w:val="005223A4"/>
    <w:rsid w:val="005231A0"/>
    <w:rsid w:val="005241CF"/>
    <w:rsid w:val="005249C9"/>
    <w:rsid w:val="00524D61"/>
    <w:rsid w:val="00524FE9"/>
    <w:rsid w:val="00525893"/>
    <w:rsid w:val="00525978"/>
    <w:rsid w:val="00527F6A"/>
    <w:rsid w:val="005314F3"/>
    <w:rsid w:val="00536099"/>
    <w:rsid w:val="0053675F"/>
    <w:rsid w:val="00540FD8"/>
    <w:rsid w:val="005419B1"/>
    <w:rsid w:val="00545F2D"/>
    <w:rsid w:val="00547273"/>
    <w:rsid w:val="0054791A"/>
    <w:rsid w:val="00547B5A"/>
    <w:rsid w:val="00550BD0"/>
    <w:rsid w:val="00551CB3"/>
    <w:rsid w:val="00552097"/>
    <w:rsid w:val="00552CFD"/>
    <w:rsid w:val="0055376B"/>
    <w:rsid w:val="005537B0"/>
    <w:rsid w:val="005539C7"/>
    <w:rsid w:val="00553C30"/>
    <w:rsid w:val="00553E91"/>
    <w:rsid w:val="005545FA"/>
    <w:rsid w:val="00555924"/>
    <w:rsid w:val="00555B26"/>
    <w:rsid w:val="00556A03"/>
    <w:rsid w:val="0055708B"/>
    <w:rsid w:val="00557DE1"/>
    <w:rsid w:val="00560234"/>
    <w:rsid w:val="005609FA"/>
    <w:rsid w:val="00560AC8"/>
    <w:rsid w:val="00560FE1"/>
    <w:rsid w:val="005638A0"/>
    <w:rsid w:val="00563D8E"/>
    <w:rsid w:val="0056407E"/>
    <w:rsid w:val="00564680"/>
    <w:rsid w:val="00566397"/>
    <w:rsid w:val="00566820"/>
    <w:rsid w:val="0056698E"/>
    <w:rsid w:val="00567CD4"/>
    <w:rsid w:val="00567F96"/>
    <w:rsid w:val="00570C23"/>
    <w:rsid w:val="00570D7E"/>
    <w:rsid w:val="00570E25"/>
    <w:rsid w:val="0057161C"/>
    <w:rsid w:val="005716F3"/>
    <w:rsid w:val="00571E12"/>
    <w:rsid w:val="00572461"/>
    <w:rsid w:val="00575F63"/>
    <w:rsid w:val="0058089F"/>
    <w:rsid w:val="005841E4"/>
    <w:rsid w:val="00585151"/>
    <w:rsid w:val="0058563F"/>
    <w:rsid w:val="00586F4A"/>
    <w:rsid w:val="00587807"/>
    <w:rsid w:val="00587DED"/>
    <w:rsid w:val="00591EEC"/>
    <w:rsid w:val="005924C1"/>
    <w:rsid w:val="0059257D"/>
    <w:rsid w:val="005927ED"/>
    <w:rsid w:val="00595756"/>
    <w:rsid w:val="005964A3"/>
    <w:rsid w:val="005974C8"/>
    <w:rsid w:val="005A07A4"/>
    <w:rsid w:val="005A14AD"/>
    <w:rsid w:val="005A1D8E"/>
    <w:rsid w:val="005A2D6A"/>
    <w:rsid w:val="005A485A"/>
    <w:rsid w:val="005A5B6A"/>
    <w:rsid w:val="005A5B89"/>
    <w:rsid w:val="005A5FFE"/>
    <w:rsid w:val="005B06D9"/>
    <w:rsid w:val="005B0E51"/>
    <w:rsid w:val="005B2C1A"/>
    <w:rsid w:val="005B2E89"/>
    <w:rsid w:val="005B3B7D"/>
    <w:rsid w:val="005B5802"/>
    <w:rsid w:val="005B5B07"/>
    <w:rsid w:val="005B6A51"/>
    <w:rsid w:val="005B70D4"/>
    <w:rsid w:val="005C0EFF"/>
    <w:rsid w:val="005C1051"/>
    <w:rsid w:val="005C193F"/>
    <w:rsid w:val="005C1A49"/>
    <w:rsid w:val="005C37E6"/>
    <w:rsid w:val="005C42A9"/>
    <w:rsid w:val="005C555D"/>
    <w:rsid w:val="005C6DB3"/>
    <w:rsid w:val="005C7308"/>
    <w:rsid w:val="005C74A9"/>
    <w:rsid w:val="005C7C4F"/>
    <w:rsid w:val="005D16DB"/>
    <w:rsid w:val="005D1FB1"/>
    <w:rsid w:val="005D2BE4"/>
    <w:rsid w:val="005D2D97"/>
    <w:rsid w:val="005D30AB"/>
    <w:rsid w:val="005D33AD"/>
    <w:rsid w:val="005D7774"/>
    <w:rsid w:val="005D7B37"/>
    <w:rsid w:val="005D7BD2"/>
    <w:rsid w:val="005E003F"/>
    <w:rsid w:val="005E135F"/>
    <w:rsid w:val="005E2E60"/>
    <w:rsid w:val="005E4E1C"/>
    <w:rsid w:val="005E5043"/>
    <w:rsid w:val="005E5979"/>
    <w:rsid w:val="005E6476"/>
    <w:rsid w:val="005E7812"/>
    <w:rsid w:val="005F2336"/>
    <w:rsid w:val="005F28E6"/>
    <w:rsid w:val="005F2AE0"/>
    <w:rsid w:val="005F3070"/>
    <w:rsid w:val="005F3D52"/>
    <w:rsid w:val="005F47A8"/>
    <w:rsid w:val="005F47CF"/>
    <w:rsid w:val="005F59AC"/>
    <w:rsid w:val="005F613E"/>
    <w:rsid w:val="005F6C73"/>
    <w:rsid w:val="006018EA"/>
    <w:rsid w:val="00602E25"/>
    <w:rsid w:val="00603520"/>
    <w:rsid w:val="0060495D"/>
    <w:rsid w:val="006104E9"/>
    <w:rsid w:val="00610786"/>
    <w:rsid w:val="00611784"/>
    <w:rsid w:val="00611D5E"/>
    <w:rsid w:val="006133B9"/>
    <w:rsid w:val="00614B8E"/>
    <w:rsid w:val="00614F97"/>
    <w:rsid w:val="00615DFD"/>
    <w:rsid w:val="00616E42"/>
    <w:rsid w:val="006176BC"/>
    <w:rsid w:val="0061779D"/>
    <w:rsid w:val="006206FB"/>
    <w:rsid w:val="00620AE6"/>
    <w:rsid w:val="0062112D"/>
    <w:rsid w:val="00621B3A"/>
    <w:rsid w:val="006221B9"/>
    <w:rsid w:val="00622900"/>
    <w:rsid w:val="0062448E"/>
    <w:rsid w:val="006248D8"/>
    <w:rsid w:val="00624A50"/>
    <w:rsid w:val="00625FA1"/>
    <w:rsid w:val="00626D9A"/>
    <w:rsid w:val="00627C4D"/>
    <w:rsid w:val="0063008E"/>
    <w:rsid w:val="006315C8"/>
    <w:rsid w:val="00632528"/>
    <w:rsid w:val="00632B9A"/>
    <w:rsid w:val="006330BF"/>
    <w:rsid w:val="00633331"/>
    <w:rsid w:val="00633E6B"/>
    <w:rsid w:val="006349B8"/>
    <w:rsid w:val="00634D41"/>
    <w:rsid w:val="00635447"/>
    <w:rsid w:val="006368D1"/>
    <w:rsid w:val="00637024"/>
    <w:rsid w:val="00637AEB"/>
    <w:rsid w:val="00637B28"/>
    <w:rsid w:val="00637F2A"/>
    <w:rsid w:val="006411C3"/>
    <w:rsid w:val="00641860"/>
    <w:rsid w:val="00642649"/>
    <w:rsid w:val="00642668"/>
    <w:rsid w:val="006426B6"/>
    <w:rsid w:val="00642B32"/>
    <w:rsid w:val="006433B9"/>
    <w:rsid w:val="00644F57"/>
    <w:rsid w:val="0064668B"/>
    <w:rsid w:val="00646977"/>
    <w:rsid w:val="00647085"/>
    <w:rsid w:val="00647224"/>
    <w:rsid w:val="00650827"/>
    <w:rsid w:val="0065096B"/>
    <w:rsid w:val="00651D84"/>
    <w:rsid w:val="006524B5"/>
    <w:rsid w:val="006529AB"/>
    <w:rsid w:val="00652F48"/>
    <w:rsid w:val="00653907"/>
    <w:rsid w:val="00653E3E"/>
    <w:rsid w:val="00654EF8"/>
    <w:rsid w:val="0066191F"/>
    <w:rsid w:val="00661F87"/>
    <w:rsid w:val="00662027"/>
    <w:rsid w:val="00663E2B"/>
    <w:rsid w:val="00665BBC"/>
    <w:rsid w:val="0066619E"/>
    <w:rsid w:val="00666243"/>
    <w:rsid w:val="00666D2C"/>
    <w:rsid w:val="0066734A"/>
    <w:rsid w:val="0067073F"/>
    <w:rsid w:val="00670A53"/>
    <w:rsid w:val="00671DD8"/>
    <w:rsid w:val="00672030"/>
    <w:rsid w:val="0067316D"/>
    <w:rsid w:val="006732CC"/>
    <w:rsid w:val="006733BF"/>
    <w:rsid w:val="006758CA"/>
    <w:rsid w:val="00675A80"/>
    <w:rsid w:val="00676F1E"/>
    <w:rsid w:val="00677892"/>
    <w:rsid w:val="00677A00"/>
    <w:rsid w:val="00680BFD"/>
    <w:rsid w:val="00681386"/>
    <w:rsid w:val="0068163C"/>
    <w:rsid w:val="006824D0"/>
    <w:rsid w:val="006829FA"/>
    <w:rsid w:val="00682E43"/>
    <w:rsid w:val="006836F9"/>
    <w:rsid w:val="00684CFC"/>
    <w:rsid w:val="00686033"/>
    <w:rsid w:val="00686B22"/>
    <w:rsid w:val="00686B7F"/>
    <w:rsid w:val="006875DE"/>
    <w:rsid w:val="0069056B"/>
    <w:rsid w:val="00691A18"/>
    <w:rsid w:val="006931D5"/>
    <w:rsid w:val="00693300"/>
    <w:rsid w:val="00693415"/>
    <w:rsid w:val="00695CCF"/>
    <w:rsid w:val="00695E28"/>
    <w:rsid w:val="00696BF3"/>
    <w:rsid w:val="0069753E"/>
    <w:rsid w:val="006A0E4C"/>
    <w:rsid w:val="006A1368"/>
    <w:rsid w:val="006A17EB"/>
    <w:rsid w:val="006A2C6A"/>
    <w:rsid w:val="006A3E36"/>
    <w:rsid w:val="006A5298"/>
    <w:rsid w:val="006A5A2A"/>
    <w:rsid w:val="006A66FE"/>
    <w:rsid w:val="006A6869"/>
    <w:rsid w:val="006A791C"/>
    <w:rsid w:val="006B0A34"/>
    <w:rsid w:val="006B1A2A"/>
    <w:rsid w:val="006B22DF"/>
    <w:rsid w:val="006B4C50"/>
    <w:rsid w:val="006B5A61"/>
    <w:rsid w:val="006B5C83"/>
    <w:rsid w:val="006B61AC"/>
    <w:rsid w:val="006B6B73"/>
    <w:rsid w:val="006B7D64"/>
    <w:rsid w:val="006B7F53"/>
    <w:rsid w:val="006C1FFA"/>
    <w:rsid w:val="006C23CF"/>
    <w:rsid w:val="006C39C0"/>
    <w:rsid w:val="006C41AA"/>
    <w:rsid w:val="006C41ED"/>
    <w:rsid w:val="006C4555"/>
    <w:rsid w:val="006C4622"/>
    <w:rsid w:val="006C6419"/>
    <w:rsid w:val="006C72EB"/>
    <w:rsid w:val="006C7BFC"/>
    <w:rsid w:val="006C7F66"/>
    <w:rsid w:val="006D002E"/>
    <w:rsid w:val="006D032A"/>
    <w:rsid w:val="006D06CD"/>
    <w:rsid w:val="006D1E82"/>
    <w:rsid w:val="006D2C86"/>
    <w:rsid w:val="006D3956"/>
    <w:rsid w:val="006D48D6"/>
    <w:rsid w:val="006D5EB4"/>
    <w:rsid w:val="006E08AD"/>
    <w:rsid w:val="006E0DE2"/>
    <w:rsid w:val="006E2233"/>
    <w:rsid w:val="006E2DED"/>
    <w:rsid w:val="006E39CF"/>
    <w:rsid w:val="006E4B55"/>
    <w:rsid w:val="006E7EC4"/>
    <w:rsid w:val="006F027A"/>
    <w:rsid w:val="006F17C2"/>
    <w:rsid w:val="006F36AF"/>
    <w:rsid w:val="006F3765"/>
    <w:rsid w:val="006F46AA"/>
    <w:rsid w:val="006F47C4"/>
    <w:rsid w:val="006F49E2"/>
    <w:rsid w:val="006F5727"/>
    <w:rsid w:val="006F662A"/>
    <w:rsid w:val="006F6C48"/>
    <w:rsid w:val="006F6E72"/>
    <w:rsid w:val="007009D8"/>
    <w:rsid w:val="0070178C"/>
    <w:rsid w:val="00701E33"/>
    <w:rsid w:val="007053B9"/>
    <w:rsid w:val="0070766E"/>
    <w:rsid w:val="00707EC8"/>
    <w:rsid w:val="00711A73"/>
    <w:rsid w:val="00713035"/>
    <w:rsid w:val="007130BE"/>
    <w:rsid w:val="007135E6"/>
    <w:rsid w:val="00713B0B"/>
    <w:rsid w:val="00713BA9"/>
    <w:rsid w:val="00713D05"/>
    <w:rsid w:val="007156C9"/>
    <w:rsid w:val="00716135"/>
    <w:rsid w:val="007164A5"/>
    <w:rsid w:val="00717E58"/>
    <w:rsid w:val="00717EA9"/>
    <w:rsid w:val="00717F5F"/>
    <w:rsid w:val="007214AE"/>
    <w:rsid w:val="007215D5"/>
    <w:rsid w:val="007227CD"/>
    <w:rsid w:val="0072437A"/>
    <w:rsid w:val="00725D67"/>
    <w:rsid w:val="007264CD"/>
    <w:rsid w:val="007267C0"/>
    <w:rsid w:val="00726860"/>
    <w:rsid w:val="007271C3"/>
    <w:rsid w:val="00727525"/>
    <w:rsid w:val="007278BB"/>
    <w:rsid w:val="0072C17C"/>
    <w:rsid w:val="0073083F"/>
    <w:rsid w:val="007309E9"/>
    <w:rsid w:val="00730CCC"/>
    <w:rsid w:val="007313E6"/>
    <w:rsid w:val="00734C48"/>
    <w:rsid w:val="00735277"/>
    <w:rsid w:val="007373A4"/>
    <w:rsid w:val="00740F01"/>
    <w:rsid w:val="00741099"/>
    <w:rsid w:val="007419EB"/>
    <w:rsid w:val="00741CD6"/>
    <w:rsid w:val="007449F1"/>
    <w:rsid w:val="0074533F"/>
    <w:rsid w:val="00745E76"/>
    <w:rsid w:val="007462DD"/>
    <w:rsid w:val="007466D7"/>
    <w:rsid w:val="007507DA"/>
    <w:rsid w:val="00750CFE"/>
    <w:rsid w:val="00751987"/>
    <w:rsid w:val="00751AAE"/>
    <w:rsid w:val="00753F5D"/>
    <w:rsid w:val="0075471B"/>
    <w:rsid w:val="00754A08"/>
    <w:rsid w:val="00754A1A"/>
    <w:rsid w:val="007551EE"/>
    <w:rsid w:val="0075530B"/>
    <w:rsid w:val="007555FD"/>
    <w:rsid w:val="00755EC6"/>
    <w:rsid w:val="00756D1F"/>
    <w:rsid w:val="00757719"/>
    <w:rsid w:val="00760512"/>
    <w:rsid w:val="00762FED"/>
    <w:rsid w:val="00763A18"/>
    <w:rsid w:val="00764D9B"/>
    <w:rsid w:val="0076513F"/>
    <w:rsid w:val="007655CA"/>
    <w:rsid w:val="00766775"/>
    <w:rsid w:val="0076773A"/>
    <w:rsid w:val="0077055A"/>
    <w:rsid w:val="00771190"/>
    <w:rsid w:val="00771D6C"/>
    <w:rsid w:val="0077277A"/>
    <w:rsid w:val="00772B45"/>
    <w:rsid w:val="00772FBC"/>
    <w:rsid w:val="0077427A"/>
    <w:rsid w:val="00774B9D"/>
    <w:rsid w:val="0077573F"/>
    <w:rsid w:val="00780054"/>
    <w:rsid w:val="0078082B"/>
    <w:rsid w:val="007808ED"/>
    <w:rsid w:val="0078388B"/>
    <w:rsid w:val="00784D2C"/>
    <w:rsid w:val="007859F9"/>
    <w:rsid w:val="007868A2"/>
    <w:rsid w:val="007901D3"/>
    <w:rsid w:val="00790682"/>
    <w:rsid w:val="00790791"/>
    <w:rsid w:val="00791B24"/>
    <w:rsid w:val="00792C45"/>
    <w:rsid w:val="0079378D"/>
    <w:rsid w:val="007953B3"/>
    <w:rsid w:val="007955EC"/>
    <w:rsid w:val="00796673"/>
    <w:rsid w:val="00796A05"/>
    <w:rsid w:val="00796D6F"/>
    <w:rsid w:val="007979A7"/>
    <w:rsid w:val="007A06B0"/>
    <w:rsid w:val="007A0CB9"/>
    <w:rsid w:val="007A15BB"/>
    <w:rsid w:val="007A22BD"/>
    <w:rsid w:val="007A2D74"/>
    <w:rsid w:val="007A3DCB"/>
    <w:rsid w:val="007A484A"/>
    <w:rsid w:val="007A5363"/>
    <w:rsid w:val="007A55D5"/>
    <w:rsid w:val="007A694C"/>
    <w:rsid w:val="007A77F1"/>
    <w:rsid w:val="007A7A4E"/>
    <w:rsid w:val="007A7D4B"/>
    <w:rsid w:val="007B0755"/>
    <w:rsid w:val="007B0958"/>
    <w:rsid w:val="007B2CE4"/>
    <w:rsid w:val="007B33D4"/>
    <w:rsid w:val="007B48FD"/>
    <w:rsid w:val="007B4E88"/>
    <w:rsid w:val="007B5F8B"/>
    <w:rsid w:val="007B6076"/>
    <w:rsid w:val="007B6C72"/>
    <w:rsid w:val="007B7049"/>
    <w:rsid w:val="007B7F4E"/>
    <w:rsid w:val="007C1D7D"/>
    <w:rsid w:val="007C1F56"/>
    <w:rsid w:val="007C3DC8"/>
    <w:rsid w:val="007C552E"/>
    <w:rsid w:val="007C60E0"/>
    <w:rsid w:val="007C754C"/>
    <w:rsid w:val="007D09CE"/>
    <w:rsid w:val="007D0B63"/>
    <w:rsid w:val="007D0D0F"/>
    <w:rsid w:val="007D24DD"/>
    <w:rsid w:val="007D3901"/>
    <w:rsid w:val="007D4E48"/>
    <w:rsid w:val="007D552E"/>
    <w:rsid w:val="007D7880"/>
    <w:rsid w:val="007E12A3"/>
    <w:rsid w:val="007E187A"/>
    <w:rsid w:val="007E1A80"/>
    <w:rsid w:val="007E3B30"/>
    <w:rsid w:val="007E4B68"/>
    <w:rsid w:val="007E4FDE"/>
    <w:rsid w:val="007E5B40"/>
    <w:rsid w:val="007E697E"/>
    <w:rsid w:val="007E6BFF"/>
    <w:rsid w:val="007E71CD"/>
    <w:rsid w:val="007E749E"/>
    <w:rsid w:val="007E7C8D"/>
    <w:rsid w:val="007F09DC"/>
    <w:rsid w:val="007F26B8"/>
    <w:rsid w:val="007F3154"/>
    <w:rsid w:val="007F3AFE"/>
    <w:rsid w:val="007F3B95"/>
    <w:rsid w:val="007F3D3A"/>
    <w:rsid w:val="007F3D9D"/>
    <w:rsid w:val="007F5298"/>
    <w:rsid w:val="007F561D"/>
    <w:rsid w:val="007F67AC"/>
    <w:rsid w:val="007F6FD7"/>
    <w:rsid w:val="00801402"/>
    <w:rsid w:val="0080182E"/>
    <w:rsid w:val="008020A2"/>
    <w:rsid w:val="00802F93"/>
    <w:rsid w:val="00803659"/>
    <w:rsid w:val="00805853"/>
    <w:rsid w:val="0080789F"/>
    <w:rsid w:val="00807AA9"/>
    <w:rsid w:val="00810F7A"/>
    <w:rsid w:val="00815EAE"/>
    <w:rsid w:val="0081606C"/>
    <w:rsid w:val="008165DA"/>
    <w:rsid w:val="0082016B"/>
    <w:rsid w:val="00820594"/>
    <w:rsid w:val="00821135"/>
    <w:rsid w:val="008214B0"/>
    <w:rsid w:val="00821D08"/>
    <w:rsid w:val="008225A2"/>
    <w:rsid w:val="00822D63"/>
    <w:rsid w:val="00822F15"/>
    <w:rsid w:val="008230D5"/>
    <w:rsid w:val="0082451F"/>
    <w:rsid w:val="0082553E"/>
    <w:rsid w:val="008258DB"/>
    <w:rsid w:val="008275CC"/>
    <w:rsid w:val="00830ABA"/>
    <w:rsid w:val="00830EF4"/>
    <w:rsid w:val="008331CE"/>
    <w:rsid w:val="008356A3"/>
    <w:rsid w:val="008370B5"/>
    <w:rsid w:val="00837319"/>
    <w:rsid w:val="00840F55"/>
    <w:rsid w:val="00842810"/>
    <w:rsid w:val="008431D4"/>
    <w:rsid w:val="00843A35"/>
    <w:rsid w:val="008456C1"/>
    <w:rsid w:val="00846123"/>
    <w:rsid w:val="008473FF"/>
    <w:rsid w:val="008474E5"/>
    <w:rsid w:val="00847556"/>
    <w:rsid w:val="00847F1E"/>
    <w:rsid w:val="00850639"/>
    <w:rsid w:val="00850F9F"/>
    <w:rsid w:val="00852C2B"/>
    <w:rsid w:val="00852CD5"/>
    <w:rsid w:val="00852E0A"/>
    <w:rsid w:val="0085390D"/>
    <w:rsid w:val="00854642"/>
    <w:rsid w:val="00854DB8"/>
    <w:rsid w:val="0085708B"/>
    <w:rsid w:val="00857895"/>
    <w:rsid w:val="008579B5"/>
    <w:rsid w:val="0086082C"/>
    <w:rsid w:val="00860F8B"/>
    <w:rsid w:val="00862B78"/>
    <w:rsid w:val="00862CF2"/>
    <w:rsid w:val="008630E7"/>
    <w:rsid w:val="00863633"/>
    <w:rsid w:val="00863889"/>
    <w:rsid w:val="00866065"/>
    <w:rsid w:val="00866D0F"/>
    <w:rsid w:val="00867BC7"/>
    <w:rsid w:val="00870422"/>
    <w:rsid w:val="00871965"/>
    <w:rsid w:val="008720A5"/>
    <w:rsid w:val="00872D94"/>
    <w:rsid w:val="00874ADF"/>
    <w:rsid w:val="00876028"/>
    <w:rsid w:val="008768BB"/>
    <w:rsid w:val="00877898"/>
    <w:rsid w:val="0088474A"/>
    <w:rsid w:val="00885695"/>
    <w:rsid w:val="0088740A"/>
    <w:rsid w:val="0089041D"/>
    <w:rsid w:val="008904F2"/>
    <w:rsid w:val="00890523"/>
    <w:rsid w:val="00890859"/>
    <w:rsid w:val="00890BAC"/>
    <w:rsid w:val="00891511"/>
    <w:rsid w:val="0089177C"/>
    <w:rsid w:val="00892054"/>
    <w:rsid w:val="008920B3"/>
    <w:rsid w:val="00892959"/>
    <w:rsid w:val="00892CD8"/>
    <w:rsid w:val="00892EF6"/>
    <w:rsid w:val="008935DF"/>
    <w:rsid w:val="008947E9"/>
    <w:rsid w:val="008947EA"/>
    <w:rsid w:val="00895DED"/>
    <w:rsid w:val="008A046A"/>
    <w:rsid w:val="008A0604"/>
    <w:rsid w:val="008A070B"/>
    <w:rsid w:val="008A0A97"/>
    <w:rsid w:val="008A23E2"/>
    <w:rsid w:val="008A4321"/>
    <w:rsid w:val="008A4CC1"/>
    <w:rsid w:val="008A6755"/>
    <w:rsid w:val="008B03DF"/>
    <w:rsid w:val="008B06CE"/>
    <w:rsid w:val="008B0E38"/>
    <w:rsid w:val="008B1268"/>
    <w:rsid w:val="008B1993"/>
    <w:rsid w:val="008B1FA0"/>
    <w:rsid w:val="008B1FA6"/>
    <w:rsid w:val="008B2F5F"/>
    <w:rsid w:val="008B3321"/>
    <w:rsid w:val="008B3D7E"/>
    <w:rsid w:val="008B4ACC"/>
    <w:rsid w:val="008B55B7"/>
    <w:rsid w:val="008B6847"/>
    <w:rsid w:val="008B6BBA"/>
    <w:rsid w:val="008B6F98"/>
    <w:rsid w:val="008B6FFC"/>
    <w:rsid w:val="008B773C"/>
    <w:rsid w:val="008B7981"/>
    <w:rsid w:val="008C0479"/>
    <w:rsid w:val="008C0B90"/>
    <w:rsid w:val="008C3B02"/>
    <w:rsid w:val="008C3E77"/>
    <w:rsid w:val="008C430F"/>
    <w:rsid w:val="008C4736"/>
    <w:rsid w:val="008C49DB"/>
    <w:rsid w:val="008C5719"/>
    <w:rsid w:val="008C5E69"/>
    <w:rsid w:val="008C6C8E"/>
    <w:rsid w:val="008C6E68"/>
    <w:rsid w:val="008C70D0"/>
    <w:rsid w:val="008C751C"/>
    <w:rsid w:val="008D11B6"/>
    <w:rsid w:val="008D231C"/>
    <w:rsid w:val="008D2782"/>
    <w:rsid w:val="008D29A0"/>
    <w:rsid w:val="008D30C2"/>
    <w:rsid w:val="008D30CE"/>
    <w:rsid w:val="008D494B"/>
    <w:rsid w:val="008D4E55"/>
    <w:rsid w:val="008D5A67"/>
    <w:rsid w:val="008D5BE5"/>
    <w:rsid w:val="008D6799"/>
    <w:rsid w:val="008D7873"/>
    <w:rsid w:val="008E097D"/>
    <w:rsid w:val="008E1085"/>
    <w:rsid w:val="008E2DBA"/>
    <w:rsid w:val="008E3196"/>
    <w:rsid w:val="008E382B"/>
    <w:rsid w:val="008E3CF8"/>
    <w:rsid w:val="008E50A1"/>
    <w:rsid w:val="008E62A9"/>
    <w:rsid w:val="008E6411"/>
    <w:rsid w:val="008E6676"/>
    <w:rsid w:val="008F125D"/>
    <w:rsid w:val="008F20D7"/>
    <w:rsid w:val="008F23A0"/>
    <w:rsid w:val="008F2C1D"/>
    <w:rsid w:val="008F3195"/>
    <w:rsid w:val="008F42A0"/>
    <w:rsid w:val="008F4749"/>
    <w:rsid w:val="008F4E57"/>
    <w:rsid w:val="008F4E8E"/>
    <w:rsid w:val="008F5BB3"/>
    <w:rsid w:val="008F5FB8"/>
    <w:rsid w:val="008F64C4"/>
    <w:rsid w:val="00900107"/>
    <w:rsid w:val="009042F0"/>
    <w:rsid w:val="009063AC"/>
    <w:rsid w:val="00906C62"/>
    <w:rsid w:val="00907410"/>
    <w:rsid w:val="00910791"/>
    <w:rsid w:val="00910CA4"/>
    <w:rsid w:val="009128C2"/>
    <w:rsid w:val="00912956"/>
    <w:rsid w:val="00912B42"/>
    <w:rsid w:val="00913BBC"/>
    <w:rsid w:val="00914640"/>
    <w:rsid w:val="00914BAA"/>
    <w:rsid w:val="00914F22"/>
    <w:rsid w:val="009152D6"/>
    <w:rsid w:val="00915C65"/>
    <w:rsid w:val="009167D9"/>
    <w:rsid w:val="009169E5"/>
    <w:rsid w:val="00916A07"/>
    <w:rsid w:val="00917184"/>
    <w:rsid w:val="00917676"/>
    <w:rsid w:val="00920B90"/>
    <w:rsid w:val="009214CE"/>
    <w:rsid w:val="0092466E"/>
    <w:rsid w:val="009251BE"/>
    <w:rsid w:val="009258AC"/>
    <w:rsid w:val="00925C0A"/>
    <w:rsid w:val="009260C7"/>
    <w:rsid w:val="009263A9"/>
    <w:rsid w:val="00926DCF"/>
    <w:rsid w:val="00927318"/>
    <w:rsid w:val="0092769F"/>
    <w:rsid w:val="0093062A"/>
    <w:rsid w:val="00930EF2"/>
    <w:rsid w:val="00931973"/>
    <w:rsid w:val="00933BC2"/>
    <w:rsid w:val="00933D78"/>
    <w:rsid w:val="009341DA"/>
    <w:rsid w:val="0093467C"/>
    <w:rsid w:val="00934C25"/>
    <w:rsid w:val="00935674"/>
    <w:rsid w:val="00936558"/>
    <w:rsid w:val="0094074A"/>
    <w:rsid w:val="00941528"/>
    <w:rsid w:val="00943F0D"/>
    <w:rsid w:val="00944656"/>
    <w:rsid w:val="009448BA"/>
    <w:rsid w:val="00944956"/>
    <w:rsid w:val="00944FDD"/>
    <w:rsid w:val="00945288"/>
    <w:rsid w:val="00945DC0"/>
    <w:rsid w:val="00946888"/>
    <w:rsid w:val="0095079E"/>
    <w:rsid w:val="0095086D"/>
    <w:rsid w:val="00951167"/>
    <w:rsid w:val="00951A8B"/>
    <w:rsid w:val="00952591"/>
    <w:rsid w:val="00952B1A"/>
    <w:rsid w:val="00952E8F"/>
    <w:rsid w:val="00953E38"/>
    <w:rsid w:val="00954BA1"/>
    <w:rsid w:val="0095535B"/>
    <w:rsid w:val="009557D2"/>
    <w:rsid w:val="0095583C"/>
    <w:rsid w:val="00957426"/>
    <w:rsid w:val="00957B31"/>
    <w:rsid w:val="009626F6"/>
    <w:rsid w:val="00963008"/>
    <w:rsid w:val="0096393B"/>
    <w:rsid w:val="00965FD3"/>
    <w:rsid w:val="00966026"/>
    <w:rsid w:val="00966BD9"/>
    <w:rsid w:val="00966FBB"/>
    <w:rsid w:val="00970740"/>
    <w:rsid w:val="00970756"/>
    <w:rsid w:val="009710B3"/>
    <w:rsid w:val="00971C18"/>
    <w:rsid w:val="00971EBD"/>
    <w:rsid w:val="00972A5C"/>
    <w:rsid w:val="00972DCF"/>
    <w:rsid w:val="00973EC3"/>
    <w:rsid w:val="00974288"/>
    <w:rsid w:val="009764DB"/>
    <w:rsid w:val="00981023"/>
    <w:rsid w:val="0098111D"/>
    <w:rsid w:val="009812A1"/>
    <w:rsid w:val="009812E2"/>
    <w:rsid w:val="00981BB6"/>
    <w:rsid w:val="00982EAD"/>
    <w:rsid w:val="00983693"/>
    <w:rsid w:val="00984CCB"/>
    <w:rsid w:val="00985817"/>
    <w:rsid w:val="0098589F"/>
    <w:rsid w:val="009874A4"/>
    <w:rsid w:val="0099001F"/>
    <w:rsid w:val="00990048"/>
    <w:rsid w:val="00992AD6"/>
    <w:rsid w:val="00997270"/>
    <w:rsid w:val="009A016E"/>
    <w:rsid w:val="009A1149"/>
    <w:rsid w:val="009A2E25"/>
    <w:rsid w:val="009A2E3D"/>
    <w:rsid w:val="009A2FDE"/>
    <w:rsid w:val="009A3592"/>
    <w:rsid w:val="009A3DCE"/>
    <w:rsid w:val="009B06CF"/>
    <w:rsid w:val="009B08B4"/>
    <w:rsid w:val="009B0A4A"/>
    <w:rsid w:val="009B0D50"/>
    <w:rsid w:val="009B100F"/>
    <w:rsid w:val="009B260C"/>
    <w:rsid w:val="009B33F8"/>
    <w:rsid w:val="009B39C3"/>
    <w:rsid w:val="009B443F"/>
    <w:rsid w:val="009B49A1"/>
    <w:rsid w:val="009B5E94"/>
    <w:rsid w:val="009B656B"/>
    <w:rsid w:val="009B6CFD"/>
    <w:rsid w:val="009C1830"/>
    <w:rsid w:val="009C20ED"/>
    <w:rsid w:val="009C38B8"/>
    <w:rsid w:val="009C411A"/>
    <w:rsid w:val="009C5E66"/>
    <w:rsid w:val="009C6A4C"/>
    <w:rsid w:val="009C70B6"/>
    <w:rsid w:val="009D00D9"/>
    <w:rsid w:val="009D08AF"/>
    <w:rsid w:val="009D1262"/>
    <w:rsid w:val="009D1DD1"/>
    <w:rsid w:val="009D3122"/>
    <w:rsid w:val="009D3FA8"/>
    <w:rsid w:val="009D420F"/>
    <w:rsid w:val="009D49C8"/>
    <w:rsid w:val="009D588E"/>
    <w:rsid w:val="009D60F5"/>
    <w:rsid w:val="009D7119"/>
    <w:rsid w:val="009E170A"/>
    <w:rsid w:val="009E28B2"/>
    <w:rsid w:val="009E299A"/>
    <w:rsid w:val="009E2F56"/>
    <w:rsid w:val="009E32EF"/>
    <w:rsid w:val="009E481E"/>
    <w:rsid w:val="009E4B58"/>
    <w:rsid w:val="009E6FB5"/>
    <w:rsid w:val="009F0150"/>
    <w:rsid w:val="009F0709"/>
    <w:rsid w:val="009F09A4"/>
    <w:rsid w:val="009F12F8"/>
    <w:rsid w:val="009F3294"/>
    <w:rsid w:val="009F3693"/>
    <w:rsid w:val="009F3BE7"/>
    <w:rsid w:val="009F64AD"/>
    <w:rsid w:val="009F6F9E"/>
    <w:rsid w:val="009F7EE9"/>
    <w:rsid w:val="00A0174F"/>
    <w:rsid w:val="00A04DC7"/>
    <w:rsid w:val="00A05676"/>
    <w:rsid w:val="00A05DAD"/>
    <w:rsid w:val="00A05F77"/>
    <w:rsid w:val="00A06C25"/>
    <w:rsid w:val="00A07FA9"/>
    <w:rsid w:val="00A104F0"/>
    <w:rsid w:val="00A13154"/>
    <w:rsid w:val="00A146C7"/>
    <w:rsid w:val="00A16E06"/>
    <w:rsid w:val="00A16E1C"/>
    <w:rsid w:val="00A17927"/>
    <w:rsid w:val="00A20256"/>
    <w:rsid w:val="00A21862"/>
    <w:rsid w:val="00A22442"/>
    <w:rsid w:val="00A235F4"/>
    <w:rsid w:val="00A23668"/>
    <w:rsid w:val="00A24288"/>
    <w:rsid w:val="00A267C9"/>
    <w:rsid w:val="00A32D49"/>
    <w:rsid w:val="00A34C91"/>
    <w:rsid w:val="00A358FE"/>
    <w:rsid w:val="00A37828"/>
    <w:rsid w:val="00A37B91"/>
    <w:rsid w:val="00A40B18"/>
    <w:rsid w:val="00A425B0"/>
    <w:rsid w:val="00A42E73"/>
    <w:rsid w:val="00A432ED"/>
    <w:rsid w:val="00A447DA"/>
    <w:rsid w:val="00A45A05"/>
    <w:rsid w:val="00A4692D"/>
    <w:rsid w:val="00A504D0"/>
    <w:rsid w:val="00A50ACF"/>
    <w:rsid w:val="00A522FF"/>
    <w:rsid w:val="00A52382"/>
    <w:rsid w:val="00A534D0"/>
    <w:rsid w:val="00A5360C"/>
    <w:rsid w:val="00A53B4A"/>
    <w:rsid w:val="00A54575"/>
    <w:rsid w:val="00A54988"/>
    <w:rsid w:val="00A56940"/>
    <w:rsid w:val="00A60731"/>
    <w:rsid w:val="00A60AE1"/>
    <w:rsid w:val="00A61A2F"/>
    <w:rsid w:val="00A62535"/>
    <w:rsid w:val="00A6346B"/>
    <w:rsid w:val="00A63FAD"/>
    <w:rsid w:val="00A64B31"/>
    <w:rsid w:val="00A64E44"/>
    <w:rsid w:val="00A65EAE"/>
    <w:rsid w:val="00A662BC"/>
    <w:rsid w:val="00A662EA"/>
    <w:rsid w:val="00A66A3B"/>
    <w:rsid w:val="00A66F7C"/>
    <w:rsid w:val="00A704D5"/>
    <w:rsid w:val="00A7051C"/>
    <w:rsid w:val="00A71171"/>
    <w:rsid w:val="00A71949"/>
    <w:rsid w:val="00A759E4"/>
    <w:rsid w:val="00A75CBA"/>
    <w:rsid w:val="00A75FB5"/>
    <w:rsid w:val="00A7610E"/>
    <w:rsid w:val="00A7663C"/>
    <w:rsid w:val="00A7735B"/>
    <w:rsid w:val="00A80300"/>
    <w:rsid w:val="00A80740"/>
    <w:rsid w:val="00A80CE4"/>
    <w:rsid w:val="00A81457"/>
    <w:rsid w:val="00A81A94"/>
    <w:rsid w:val="00A828B9"/>
    <w:rsid w:val="00A82C88"/>
    <w:rsid w:val="00A82EAB"/>
    <w:rsid w:val="00A84485"/>
    <w:rsid w:val="00A8477E"/>
    <w:rsid w:val="00A86BCE"/>
    <w:rsid w:val="00A86CE7"/>
    <w:rsid w:val="00A87A18"/>
    <w:rsid w:val="00A9163C"/>
    <w:rsid w:val="00A9174C"/>
    <w:rsid w:val="00A92159"/>
    <w:rsid w:val="00A92FFD"/>
    <w:rsid w:val="00A93664"/>
    <w:rsid w:val="00A93E33"/>
    <w:rsid w:val="00A958C7"/>
    <w:rsid w:val="00A96946"/>
    <w:rsid w:val="00A97F8F"/>
    <w:rsid w:val="00AA09B4"/>
    <w:rsid w:val="00AA26E7"/>
    <w:rsid w:val="00AA2D4B"/>
    <w:rsid w:val="00AA3097"/>
    <w:rsid w:val="00AA4306"/>
    <w:rsid w:val="00AA4846"/>
    <w:rsid w:val="00AA4983"/>
    <w:rsid w:val="00AA515C"/>
    <w:rsid w:val="00AA5789"/>
    <w:rsid w:val="00AA5CF0"/>
    <w:rsid w:val="00AA63C0"/>
    <w:rsid w:val="00AA6661"/>
    <w:rsid w:val="00AA70D5"/>
    <w:rsid w:val="00AA76E1"/>
    <w:rsid w:val="00AA7D65"/>
    <w:rsid w:val="00AB0656"/>
    <w:rsid w:val="00AB0CFE"/>
    <w:rsid w:val="00AB12DC"/>
    <w:rsid w:val="00AB19D9"/>
    <w:rsid w:val="00AB28B5"/>
    <w:rsid w:val="00AB35F7"/>
    <w:rsid w:val="00AB3C1E"/>
    <w:rsid w:val="00AB3CEE"/>
    <w:rsid w:val="00AB487B"/>
    <w:rsid w:val="00AB6A25"/>
    <w:rsid w:val="00AB6FC5"/>
    <w:rsid w:val="00AB766A"/>
    <w:rsid w:val="00AC03C3"/>
    <w:rsid w:val="00AC0413"/>
    <w:rsid w:val="00AC0519"/>
    <w:rsid w:val="00AC11AB"/>
    <w:rsid w:val="00AC20A0"/>
    <w:rsid w:val="00AC342D"/>
    <w:rsid w:val="00AC34E3"/>
    <w:rsid w:val="00AC3A48"/>
    <w:rsid w:val="00AC3C3E"/>
    <w:rsid w:val="00AC461B"/>
    <w:rsid w:val="00AC483B"/>
    <w:rsid w:val="00AC767C"/>
    <w:rsid w:val="00AD0490"/>
    <w:rsid w:val="00AD1828"/>
    <w:rsid w:val="00AD2B54"/>
    <w:rsid w:val="00AD2D3D"/>
    <w:rsid w:val="00AD445F"/>
    <w:rsid w:val="00AD5A64"/>
    <w:rsid w:val="00AD5D67"/>
    <w:rsid w:val="00AD6D9B"/>
    <w:rsid w:val="00AD7069"/>
    <w:rsid w:val="00AD70CA"/>
    <w:rsid w:val="00AE1357"/>
    <w:rsid w:val="00AE24FF"/>
    <w:rsid w:val="00AE291E"/>
    <w:rsid w:val="00AE3CFC"/>
    <w:rsid w:val="00AE5557"/>
    <w:rsid w:val="00AE5CE0"/>
    <w:rsid w:val="00AE5EC7"/>
    <w:rsid w:val="00AE6147"/>
    <w:rsid w:val="00AE6A4F"/>
    <w:rsid w:val="00AE70EE"/>
    <w:rsid w:val="00AF12A1"/>
    <w:rsid w:val="00AF1C72"/>
    <w:rsid w:val="00AF2729"/>
    <w:rsid w:val="00AF2B4B"/>
    <w:rsid w:val="00AF4817"/>
    <w:rsid w:val="00AF48BA"/>
    <w:rsid w:val="00AF516A"/>
    <w:rsid w:val="00AF65F5"/>
    <w:rsid w:val="00AF68C7"/>
    <w:rsid w:val="00AF799E"/>
    <w:rsid w:val="00AF7C23"/>
    <w:rsid w:val="00B01299"/>
    <w:rsid w:val="00B0130E"/>
    <w:rsid w:val="00B01A79"/>
    <w:rsid w:val="00B02049"/>
    <w:rsid w:val="00B0280F"/>
    <w:rsid w:val="00B02D17"/>
    <w:rsid w:val="00B02DEC"/>
    <w:rsid w:val="00B03D83"/>
    <w:rsid w:val="00B046E6"/>
    <w:rsid w:val="00B04C1A"/>
    <w:rsid w:val="00B10780"/>
    <w:rsid w:val="00B133DA"/>
    <w:rsid w:val="00B13AE2"/>
    <w:rsid w:val="00B15518"/>
    <w:rsid w:val="00B15F31"/>
    <w:rsid w:val="00B17531"/>
    <w:rsid w:val="00B178B5"/>
    <w:rsid w:val="00B20BD2"/>
    <w:rsid w:val="00B20BE3"/>
    <w:rsid w:val="00B21139"/>
    <w:rsid w:val="00B22E36"/>
    <w:rsid w:val="00B22FF7"/>
    <w:rsid w:val="00B23F7D"/>
    <w:rsid w:val="00B26C6D"/>
    <w:rsid w:val="00B31710"/>
    <w:rsid w:val="00B3266C"/>
    <w:rsid w:val="00B32B4A"/>
    <w:rsid w:val="00B34883"/>
    <w:rsid w:val="00B34B3D"/>
    <w:rsid w:val="00B34FED"/>
    <w:rsid w:val="00B352F9"/>
    <w:rsid w:val="00B35444"/>
    <w:rsid w:val="00B35491"/>
    <w:rsid w:val="00B367DD"/>
    <w:rsid w:val="00B368DC"/>
    <w:rsid w:val="00B405E9"/>
    <w:rsid w:val="00B415A6"/>
    <w:rsid w:val="00B43570"/>
    <w:rsid w:val="00B4409F"/>
    <w:rsid w:val="00B447A2"/>
    <w:rsid w:val="00B45585"/>
    <w:rsid w:val="00B45695"/>
    <w:rsid w:val="00B465D7"/>
    <w:rsid w:val="00B468DE"/>
    <w:rsid w:val="00B46AB4"/>
    <w:rsid w:val="00B509F9"/>
    <w:rsid w:val="00B51BD4"/>
    <w:rsid w:val="00B52FB2"/>
    <w:rsid w:val="00B531F7"/>
    <w:rsid w:val="00B538B9"/>
    <w:rsid w:val="00B53FA2"/>
    <w:rsid w:val="00B559FA"/>
    <w:rsid w:val="00B571FE"/>
    <w:rsid w:val="00B57A21"/>
    <w:rsid w:val="00B57C32"/>
    <w:rsid w:val="00B60EA3"/>
    <w:rsid w:val="00B64C2D"/>
    <w:rsid w:val="00B64D7A"/>
    <w:rsid w:val="00B65017"/>
    <w:rsid w:val="00B652ED"/>
    <w:rsid w:val="00B657BC"/>
    <w:rsid w:val="00B657BF"/>
    <w:rsid w:val="00B70075"/>
    <w:rsid w:val="00B72163"/>
    <w:rsid w:val="00B722C1"/>
    <w:rsid w:val="00B760F3"/>
    <w:rsid w:val="00B766A8"/>
    <w:rsid w:val="00B777F9"/>
    <w:rsid w:val="00B77E63"/>
    <w:rsid w:val="00B80319"/>
    <w:rsid w:val="00B82701"/>
    <w:rsid w:val="00B85184"/>
    <w:rsid w:val="00B85903"/>
    <w:rsid w:val="00B86AB1"/>
    <w:rsid w:val="00B92B33"/>
    <w:rsid w:val="00B93106"/>
    <w:rsid w:val="00B961E7"/>
    <w:rsid w:val="00B965D6"/>
    <w:rsid w:val="00B9670D"/>
    <w:rsid w:val="00B9705B"/>
    <w:rsid w:val="00BA066D"/>
    <w:rsid w:val="00BA0B1E"/>
    <w:rsid w:val="00BA16CC"/>
    <w:rsid w:val="00BA2612"/>
    <w:rsid w:val="00BA26FB"/>
    <w:rsid w:val="00BA38D8"/>
    <w:rsid w:val="00BA3989"/>
    <w:rsid w:val="00BB1243"/>
    <w:rsid w:val="00BB1799"/>
    <w:rsid w:val="00BB3073"/>
    <w:rsid w:val="00BB596B"/>
    <w:rsid w:val="00BC19CB"/>
    <w:rsid w:val="00BC22FE"/>
    <w:rsid w:val="00BC4D79"/>
    <w:rsid w:val="00BC4E31"/>
    <w:rsid w:val="00BC5DE2"/>
    <w:rsid w:val="00BC5E98"/>
    <w:rsid w:val="00BC6A83"/>
    <w:rsid w:val="00BC77A6"/>
    <w:rsid w:val="00BC7C45"/>
    <w:rsid w:val="00BC7FA8"/>
    <w:rsid w:val="00BD1FA0"/>
    <w:rsid w:val="00BD205A"/>
    <w:rsid w:val="00BD2196"/>
    <w:rsid w:val="00BD2544"/>
    <w:rsid w:val="00BD2DB6"/>
    <w:rsid w:val="00BD3559"/>
    <w:rsid w:val="00BD4F54"/>
    <w:rsid w:val="00BD68EA"/>
    <w:rsid w:val="00BD6C3D"/>
    <w:rsid w:val="00BD6CD8"/>
    <w:rsid w:val="00BD7F8E"/>
    <w:rsid w:val="00BE1583"/>
    <w:rsid w:val="00BE2F62"/>
    <w:rsid w:val="00BE3E08"/>
    <w:rsid w:val="00BE4B75"/>
    <w:rsid w:val="00BE676B"/>
    <w:rsid w:val="00BE76DF"/>
    <w:rsid w:val="00BF027A"/>
    <w:rsid w:val="00BF02D6"/>
    <w:rsid w:val="00BF0CAA"/>
    <w:rsid w:val="00BF15D0"/>
    <w:rsid w:val="00BF3B88"/>
    <w:rsid w:val="00BF412B"/>
    <w:rsid w:val="00BF42A4"/>
    <w:rsid w:val="00BF43EC"/>
    <w:rsid w:val="00BF4CD4"/>
    <w:rsid w:val="00BF5CFC"/>
    <w:rsid w:val="00C018D9"/>
    <w:rsid w:val="00C02496"/>
    <w:rsid w:val="00C02E99"/>
    <w:rsid w:val="00C04095"/>
    <w:rsid w:val="00C041D6"/>
    <w:rsid w:val="00C04759"/>
    <w:rsid w:val="00C0548A"/>
    <w:rsid w:val="00C1019F"/>
    <w:rsid w:val="00C101A3"/>
    <w:rsid w:val="00C1046B"/>
    <w:rsid w:val="00C1073C"/>
    <w:rsid w:val="00C10E44"/>
    <w:rsid w:val="00C10F7E"/>
    <w:rsid w:val="00C11F30"/>
    <w:rsid w:val="00C14710"/>
    <w:rsid w:val="00C1613D"/>
    <w:rsid w:val="00C21B2C"/>
    <w:rsid w:val="00C21C5F"/>
    <w:rsid w:val="00C21E68"/>
    <w:rsid w:val="00C22C02"/>
    <w:rsid w:val="00C22E29"/>
    <w:rsid w:val="00C2334D"/>
    <w:rsid w:val="00C23B46"/>
    <w:rsid w:val="00C2459D"/>
    <w:rsid w:val="00C26974"/>
    <w:rsid w:val="00C301F0"/>
    <w:rsid w:val="00C3079E"/>
    <w:rsid w:val="00C309EE"/>
    <w:rsid w:val="00C3100B"/>
    <w:rsid w:val="00C31166"/>
    <w:rsid w:val="00C322A6"/>
    <w:rsid w:val="00C3373A"/>
    <w:rsid w:val="00C33CE5"/>
    <w:rsid w:val="00C33D7D"/>
    <w:rsid w:val="00C33F9B"/>
    <w:rsid w:val="00C346E2"/>
    <w:rsid w:val="00C352A3"/>
    <w:rsid w:val="00C35E12"/>
    <w:rsid w:val="00C36CDB"/>
    <w:rsid w:val="00C37635"/>
    <w:rsid w:val="00C37647"/>
    <w:rsid w:val="00C40515"/>
    <w:rsid w:val="00C405C4"/>
    <w:rsid w:val="00C40C2A"/>
    <w:rsid w:val="00C40E45"/>
    <w:rsid w:val="00C41BAC"/>
    <w:rsid w:val="00C41E28"/>
    <w:rsid w:val="00C42AB7"/>
    <w:rsid w:val="00C45923"/>
    <w:rsid w:val="00C47545"/>
    <w:rsid w:val="00C52937"/>
    <w:rsid w:val="00C5522E"/>
    <w:rsid w:val="00C552F2"/>
    <w:rsid w:val="00C55D08"/>
    <w:rsid w:val="00C55E97"/>
    <w:rsid w:val="00C564A9"/>
    <w:rsid w:val="00C569D0"/>
    <w:rsid w:val="00C56E50"/>
    <w:rsid w:val="00C57FB4"/>
    <w:rsid w:val="00C601C2"/>
    <w:rsid w:val="00C602C1"/>
    <w:rsid w:val="00C6090A"/>
    <w:rsid w:val="00C60D9D"/>
    <w:rsid w:val="00C611A4"/>
    <w:rsid w:val="00C61525"/>
    <w:rsid w:val="00C61C9E"/>
    <w:rsid w:val="00C625C0"/>
    <w:rsid w:val="00C630F1"/>
    <w:rsid w:val="00C64F5E"/>
    <w:rsid w:val="00C6558C"/>
    <w:rsid w:val="00C6593E"/>
    <w:rsid w:val="00C65CFB"/>
    <w:rsid w:val="00C66198"/>
    <w:rsid w:val="00C662DD"/>
    <w:rsid w:val="00C66C3D"/>
    <w:rsid w:val="00C674F6"/>
    <w:rsid w:val="00C67638"/>
    <w:rsid w:val="00C67FA3"/>
    <w:rsid w:val="00C70C91"/>
    <w:rsid w:val="00C710EA"/>
    <w:rsid w:val="00C739BE"/>
    <w:rsid w:val="00C73FB8"/>
    <w:rsid w:val="00C75FC6"/>
    <w:rsid w:val="00C76BD1"/>
    <w:rsid w:val="00C77476"/>
    <w:rsid w:val="00C77550"/>
    <w:rsid w:val="00C809BD"/>
    <w:rsid w:val="00C80A2A"/>
    <w:rsid w:val="00C83298"/>
    <w:rsid w:val="00C83EB0"/>
    <w:rsid w:val="00C852D0"/>
    <w:rsid w:val="00C8621B"/>
    <w:rsid w:val="00C87852"/>
    <w:rsid w:val="00C903AC"/>
    <w:rsid w:val="00C91908"/>
    <w:rsid w:val="00C91C4D"/>
    <w:rsid w:val="00C91CA7"/>
    <w:rsid w:val="00C927F2"/>
    <w:rsid w:val="00C96323"/>
    <w:rsid w:val="00C96AF9"/>
    <w:rsid w:val="00C9799D"/>
    <w:rsid w:val="00CA0516"/>
    <w:rsid w:val="00CA1C41"/>
    <w:rsid w:val="00CA2F96"/>
    <w:rsid w:val="00CA3134"/>
    <w:rsid w:val="00CA3BDE"/>
    <w:rsid w:val="00CA4188"/>
    <w:rsid w:val="00CA42B8"/>
    <w:rsid w:val="00CA4568"/>
    <w:rsid w:val="00CA47BA"/>
    <w:rsid w:val="00CA50FA"/>
    <w:rsid w:val="00CA53DA"/>
    <w:rsid w:val="00CA5E9C"/>
    <w:rsid w:val="00CA6712"/>
    <w:rsid w:val="00CA7812"/>
    <w:rsid w:val="00CB01E6"/>
    <w:rsid w:val="00CB4683"/>
    <w:rsid w:val="00CB531A"/>
    <w:rsid w:val="00CB645D"/>
    <w:rsid w:val="00CB64BE"/>
    <w:rsid w:val="00CB7D3E"/>
    <w:rsid w:val="00CC0D32"/>
    <w:rsid w:val="00CC530C"/>
    <w:rsid w:val="00CC6845"/>
    <w:rsid w:val="00CC7D56"/>
    <w:rsid w:val="00CD06FB"/>
    <w:rsid w:val="00CD09CE"/>
    <w:rsid w:val="00CD0A3A"/>
    <w:rsid w:val="00CD1150"/>
    <w:rsid w:val="00CD2E8F"/>
    <w:rsid w:val="00CD3F30"/>
    <w:rsid w:val="00CD3F9E"/>
    <w:rsid w:val="00CD5318"/>
    <w:rsid w:val="00CD5742"/>
    <w:rsid w:val="00CD6C8C"/>
    <w:rsid w:val="00CD7A80"/>
    <w:rsid w:val="00CD7BFA"/>
    <w:rsid w:val="00CE0678"/>
    <w:rsid w:val="00CE1304"/>
    <w:rsid w:val="00CE201A"/>
    <w:rsid w:val="00CE24A0"/>
    <w:rsid w:val="00CE25A5"/>
    <w:rsid w:val="00CE47D2"/>
    <w:rsid w:val="00CE4868"/>
    <w:rsid w:val="00CE56CD"/>
    <w:rsid w:val="00CE6635"/>
    <w:rsid w:val="00CE6AA4"/>
    <w:rsid w:val="00CE6DED"/>
    <w:rsid w:val="00CE72D6"/>
    <w:rsid w:val="00CE7B94"/>
    <w:rsid w:val="00CF02DC"/>
    <w:rsid w:val="00CF1E97"/>
    <w:rsid w:val="00CF1EBA"/>
    <w:rsid w:val="00CF251C"/>
    <w:rsid w:val="00CF3341"/>
    <w:rsid w:val="00CF3A9C"/>
    <w:rsid w:val="00CF4598"/>
    <w:rsid w:val="00CF6899"/>
    <w:rsid w:val="00CF78DE"/>
    <w:rsid w:val="00CF7B99"/>
    <w:rsid w:val="00CF7ED5"/>
    <w:rsid w:val="00D00E43"/>
    <w:rsid w:val="00D00EFC"/>
    <w:rsid w:val="00D011D4"/>
    <w:rsid w:val="00D01233"/>
    <w:rsid w:val="00D019E2"/>
    <w:rsid w:val="00D0294C"/>
    <w:rsid w:val="00D03F34"/>
    <w:rsid w:val="00D0408D"/>
    <w:rsid w:val="00D04233"/>
    <w:rsid w:val="00D043B1"/>
    <w:rsid w:val="00D05FC3"/>
    <w:rsid w:val="00D0641E"/>
    <w:rsid w:val="00D06984"/>
    <w:rsid w:val="00D0739A"/>
    <w:rsid w:val="00D07629"/>
    <w:rsid w:val="00D113D7"/>
    <w:rsid w:val="00D1221E"/>
    <w:rsid w:val="00D141A6"/>
    <w:rsid w:val="00D14D65"/>
    <w:rsid w:val="00D1518F"/>
    <w:rsid w:val="00D156DD"/>
    <w:rsid w:val="00D15BC2"/>
    <w:rsid w:val="00D16F50"/>
    <w:rsid w:val="00D20304"/>
    <w:rsid w:val="00D20885"/>
    <w:rsid w:val="00D20E65"/>
    <w:rsid w:val="00D21120"/>
    <w:rsid w:val="00D21620"/>
    <w:rsid w:val="00D22151"/>
    <w:rsid w:val="00D229E3"/>
    <w:rsid w:val="00D23122"/>
    <w:rsid w:val="00D23186"/>
    <w:rsid w:val="00D23BFF"/>
    <w:rsid w:val="00D272FE"/>
    <w:rsid w:val="00D301B2"/>
    <w:rsid w:val="00D30794"/>
    <w:rsid w:val="00D30A34"/>
    <w:rsid w:val="00D31242"/>
    <w:rsid w:val="00D33D6E"/>
    <w:rsid w:val="00D365F3"/>
    <w:rsid w:val="00D41B6C"/>
    <w:rsid w:val="00D41B96"/>
    <w:rsid w:val="00D42464"/>
    <w:rsid w:val="00D42A02"/>
    <w:rsid w:val="00D42E03"/>
    <w:rsid w:val="00D4317B"/>
    <w:rsid w:val="00D43C65"/>
    <w:rsid w:val="00D441BC"/>
    <w:rsid w:val="00D4462B"/>
    <w:rsid w:val="00D446DC"/>
    <w:rsid w:val="00D44E03"/>
    <w:rsid w:val="00D450AE"/>
    <w:rsid w:val="00D45B53"/>
    <w:rsid w:val="00D4652E"/>
    <w:rsid w:val="00D47B2A"/>
    <w:rsid w:val="00D51231"/>
    <w:rsid w:val="00D52A44"/>
    <w:rsid w:val="00D54AE9"/>
    <w:rsid w:val="00D60BAE"/>
    <w:rsid w:val="00D6110A"/>
    <w:rsid w:val="00D61E79"/>
    <w:rsid w:val="00D6222C"/>
    <w:rsid w:val="00D63031"/>
    <w:rsid w:val="00D634A8"/>
    <w:rsid w:val="00D63F58"/>
    <w:rsid w:val="00D6475B"/>
    <w:rsid w:val="00D64B6C"/>
    <w:rsid w:val="00D70038"/>
    <w:rsid w:val="00D71050"/>
    <w:rsid w:val="00D72952"/>
    <w:rsid w:val="00D73700"/>
    <w:rsid w:val="00D745A3"/>
    <w:rsid w:val="00D74BA6"/>
    <w:rsid w:val="00D769B4"/>
    <w:rsid w:val="00D7744D"/>
    <w:rsid w:val="00D77618"/>
    <w:rsid w:val="00D81B93"/>
    <w:rsid w:val="00D832B1"/>
    <w:rsid w:val="00D83F3D"/>
    <w:rsid w:val="00D84ADC"/>
    <w:rsid w:val="00D912D0"/>
    <w:rsid w:val="00D92302"/>
    <w:rsid w:val="00D92414"/>
    <w:rsid w:val="00D92FE3"/>
    <w:rsid w:val="00D9460B"/>
    <w:rsid w:val="00D94B53"/>
    <w:rsid w:val="00D95F19"/>
    <w:rsid w:val="00D9615E"/>
    <w:rsid w:val="00D96793"/>
    <w:rsid w:val="00D97821"/>
    <w:rsid w:val="00DA0824"/>
    <w:rsid w:val="00DA1D99"/>
    <w:rsid w:val="00DA2793"/>
    <w:rsid w:val="00DA3AFA"/>
    <w:rsid w:val="00DA7AAA"/>
    <w:rsid w:val="00DA7BF7"/>
    <w:rsid w:val="00DA7FA3"/>
    <w:rsid w:val="00DB00F3"/>
    <w:rsid w:val="00DB102E"/>
    <w:rsid w:val="00DB124D"/>
    <w:rsid w:val="00DB1F55"/>
    <w:rsid w:val="00DB2086"/>
    <w:rsid w:val="00DB22BC"/>
    <w:rsid w:val="00DB580E"/>
    <w:rsid w:val="00DB63DF"/>
    <w:rsid w:val="00DB69E0"/>
    <w:rsid w:val="00DB7C57"/>
    <w:rsid w:val="00DC0790"/>
    <w:rsid w:val="00DC081D"/>
    <w:rsid w:val="00DC1598"/>
    <w:rsid w:val="00DC1CF0"/>
    <w:rsid w:val="00DC2A7C"/>
    <w:rsid w:val="00DC2FCF"/>
    <w:rsid w:val="00DC43AD"/>
    <w:rsid w:val="00DC600D"/>
    <w:rsid w:val="00DC663A"/>
    <w:rsid w:val="00DC6B51"/>
    <w:rsid w:val="00DD122C"/>
    <w:rsid w:val="00DD1F27"/>
    <w:rsid w:val="00DD2208"/>
    <w:rsid w:val="00DD2342"/>
    <w:rsid w:val="00DD288D"/>
    <w:rsid w:val="00DD32DF"/>
    <w:rsid w:val="00DD3C59"/>
    <w:rsid w:val="00DD5743"/>
    <w:rsid w:val="00DD65D8"/>
    <w:rsid w:val="00DD6A85"/>
    <w:rsid w:val="00DD6B60"/>
    <w:rsid w:val="00DE15D0"/>
    <w:rsid w:val="00DE1E71"/>
    <w:rsid w:val="00DE1EED"/>
    <w:rsid w:val="00DE1F1B"/>
    <w:rsid w:val="00DE272A"/>
    <w:rsid w:val="00DE4102"/>
    <w:rsid w:val="00DE5A1E"/>
    <w:rsid w:val="00DE5A68"/>
    <w:rsid w:val="00DE5CE9"/>
    <w:rsid w:val="00DE62FA"/>
    <w:rsid w:val="00DE707A"/>
    <w:rsid w:val="00DE7E54"/>
    <w:rsid w:val="00DF1582"/>
    <w:rsid w:val="00DF2220"/>
    <w:rsid w:val="00DF2B9E"/>
    <w:rsid w:val="00DF3C37"/>
    <w:rsid w:val="00DF4599"/>
    <w:rsid w:val="00DF64D1"/>
    <w:rsid w:val="00DF653C"/>
    <w:rsid w:val="00DF7B93"/>
    <w:rsid w:val="00E0044D"/>
    <w:rsid w:val="00E008AC"/>
    <w:rsid w:val="00E00AFA"/>
    <w:rsid w:val="00E01142"/>
    <w:rsid w:val="00E022CD"/>
    <w:rsid w:val="00E028F4"/>
    <w:rsid w:val="00E06CD9"/>
    <w:rsid w:val="00E07971"/>
    <w:rsid w:val="00E10AB5"/>
    <w:rsid w:val="00E10D00"/>
    <w:rsid w:val="00E10D09"/>
    <w:rsid w:val="00E110D8"/>
    <w:rsid w:val="00E112FF"/>
    <w:rsid w:val="00E1204D"/>
    <w:rsid w:val="00E148FF"/>
    <w:rsid w:val="00E14B89"/>
    <w:rsid w:val="00E161C3"/>
    <w:rsid w:val="00E1691C"/>
    <w:rsid w:val="00E17BCA"/>
    <w:rsid w:val="00E20517"/>
    <w:rsid w:val="00E20E98"/>
    <w:rsid w:val="00E2116F"/>
    <w:rsid w:val="00E22560"/>
    <w:rsid w:val="00E2286B"/>
    <w:rsid w:val="00E2329C"/>
    <w:rsid w:val="00E23982"/>
    <w:rsid w:val="00E23A3B"/>
    <w:rsid w:val="00E23C08"/>
    <w:rsid w:val="00E25596"/>
    <w:rsid w:val="00E258EF"/>
    <w:rsid w:val="00E26D4B"/>
    <w:rsid w:val="00E301E7"/>
    <w:rsid w:val="00E30B19"/>
    <w:rsid w:val="00E31D3A"/>
    <w:rsid w:val="00E336EF"/>
    <w:rsid w:val="00E34C45"/>
    <w:rsid w:val="00E35E7B"/>
    <w:rsid w:val="00E403EF"/>
    <w:rsid w:val="00E414E8"/>
    <w:rsid w:val="00E440A7"/>
    <w:rsid w:val="00E449F9"/>
    <w:rsid w:val="00E454D8"/>
    <w:rsid w:val="00E45B0F"/>
    <w:rsid w:val="00E465C5"/>
    <w:rsid w:val="00E469AC"/>
    <w:rsid w:val="00E47798"/>
    <w:rsid w:val="00E47E18"/>
    <w:rsid w:val="00E53C45"/>
    <w:rsid w:val="00E55A0C"/>
    <w:rsid w:val="00E5752B"/>
    <w:rsid w:val="00E57E13"/>
    <w:rsid w:val="00E6004C"/>
    <w:rsid w:val="00E609AE"/>
    <w:rsid w:val="00E6264F"/>
    <w:rsid w:val="00E62832"/>
    <w:rsid w:val="00E6652C"/>
    <w:rsid w:val="00E66DF2"/>
    <w:rsid w:val="00E66FB0"/>
    <w:rsid w:val="00E67670"/>
    <w:rsid w:val="00E70F5B"/>
    <w:rsid w:val="00E72595"/>
    <w:rsid w:val="00E7267A"/>
    <w:rsid w:val="00E726F0"/>
    <w:rsid w:val="00E738A0"/>
    <w:rsid w:val="00E73CAD"/>
    <w:rsid w:val="00E74E6C"/>
    <w:rsid w:val="00E7535B"/>
    <w:rsid w:val="00E75C17"/>
    <w:rsid w:val="00E76370"/>
    <w:rsid w:val="00E768C8"/>
    <w:rsid w:val="00E778C4"/>
    <w:rsid w:val="00E80C9B"/>
    <w:rsid w:val="00E822CF"/>
    <w:rsid w:val="00E82C04"/>
    <w:rsid w:val="00E84392"/>
    <w:rsid w:val="00E84F79"/>
    <w:rsid w:val="00E85E53"/>
    <w:rsid w:val="00E86622"/>
    <w:rsid w:val="00E86932"/>
    <w:rsid w:val="00E874BF"/>
    <w:rsid w:val="00E8757E"/>
    <w:rsid w:val="00E879CB"/>
    <w:rsid w:val="00E87C49"/>
    <w:rsid w:val="00E904B0"/>
    <w:rsid w:val="00E91532"/>
    <w:rsid w:val="00E91867"/>
    <w:rsid w:val="00E927D8"/>
    <w:rsid w:val="00E933FC"/>
    <w:rsid w:val="00E93485"/>
    <w:rsid w:val="00E94AD7"/>
    <w:rsid w:val="00E95FD0"/>
    <w:rsid w:val="00E96C0D"/>
    <w:rsid w:val="00EA0BFC"/>
    <w:rsid w:val="00EA1406"/>
    <w:rsid w:val="00EA3A8F"/>
    <w:rsid w:val="00EA603D"/>
    <w:rsid w:val="00EA624E"/>
    <w:rsid w:val="00EA63C6"/>
    <w:rsid w:val="00EA6BDE"/>
    <w:rsid w:val="00EA6DC3"/>
    <w:rsid w:val="00EA7252"/>
    <w:rsid w:val="00EA727F"/>
    <w:rsid w:val="00EA750B"/>
    <w:rsid w:val="00EA7568"/>
    <w:rsid w:val="00EA7728"/>
    <w:rsid w:val="00EA78BE"/>
    <w:rsid w:val="00EB03DF"/>
    <w:rsid w:val="00EB141E"/>
    <w:rsid w:val="00EB15C7"/>
    <w:rsid w:val="00EB1A01"/>
    <w:rsid w:val="00EB2CE0"/>
    <w:rsid w:val="00EB3274"/>
    <w:rsid w:val="00EB44DF"/>
    <w:rsid w:val="00EB56DC"/>
    <w:rsid w:val="00EB61AE"/>
    <w:rsid w:val="00EB6DA2"/>
    <w:rsid w:val="00EB6F7F"/>
    <w:rsid w:val="00EC2672"/>
    <w:rsid w:val="00EC2CC4"/>
    <w:rsid w:val="00EC3BBE"/>
    <w:rsid w:val="00EC3FE7"/>
    <w:rsid w:val="00EC4102"/>
    <w:rsid w:val="00EC4667"/>
    <w:rsid w:val="00EC5A4D"/>
    <w:rsid w:val="00EC643A"/>
    <w:rsid w:val="00EC6F81"/>
    <w:rsid w:val="00EC749E"/>
    <w:rsid w:val="00EC7A42"/>
    <w:rsid w:val="00ED0E10"/>
    <w:rsid w:val="00ED11B7"/>
    <w:rsid w:val="00ED16FA"/>
    <w:rsid w:val="00ED1809"/>
    <w:rsid w:val="00ED3052"/>
    <w:rsid w:val="00ED3CE3"/>
    <w:rsid w:val="00ED57BA"/>
    <w:rsid w:val="00ED6EE5"/>
    <w:rsid w:val="00ED706A"/>
    <w:rsid w:val="00ED70B7"/>
    <w:rsid w:val="00ED78F8"/>
    <w:rsid w:val="00EE0299"/>
    <w:rsid w:val="00EE16E8"/>
    <w:rsid w:val="00EE2D9E"/>
    <w:rsid w:val="00EE47C9"/>
    <w:rsid w:val="00EE4D45"/>
    <w:rsid w:val="00EE58FB"/>
    <w:rsid w:val="00EE5E90"/>
    <w:rsid w:val="00EE5FAB"/>
    <w:rsid w:val="00EE7BB5"/>
    <w:rsid w:val="00EF0172"/>
    <w:rsid w:val="00EF019E"/>
    <w:rsid w:val="00EF05FC"/>
    <w:rsid w:val="00EF1BD8"/>
    <w:rsid w:val="00EF1C95"/>
    <w:rsid w:val="00EF23AE"/>
    <w:rsid w:val="00EF2649"/>
    <w:rsid w:val="00EF2D50"/>
    <w:rsid w:val="00EF31E1"/>
    <w:rsid w:val="00EF34C4"/>
    <w:rsid w:val="00EF65F5"/>
    <w:rsid w:val="00EF6BE7"/>
    <w:rsid w:val="00EF6BFC"/>
    <w:rsid w:val="00F002BE"/>
    <w:rsid w:val="00F00BA8"/>
    <w:rsid w:val="00F0264B"/>
    <w:rsid w:val="00F02E9F"/>
    <w:rsid w:val="00F030A4"/>
    <w:rsid w:val="00F05002"/>
    <w:rsid w:val="00F05AF6"/>
    <w:rsid w:val="00F06ABF"/>
    <w:rsid w:val="00F07E56"/>
    <w:rsid w:val="00F10A55"/>
    <w:rsid w:val="00F12800"/>
    <w:rsid w:val="00F1375C"/>
    <w:rsid w:val="00F143B0"/>
    <w:rsid w:val="00F1499B"/>
    <w:rsid w:val="00F15F7A"/>
    <w:rsid w:val="00F16864"/>
    <w:rsid w:val="00F20243"/>
    <w:rsid w:val="00F2148C"/>
    <w:rsid w:val="00F21998"/>
    <w:rsid w:val="00F21D4D"/>
    <w:rsid w:val="00F2264E"/>
    <w:rsid w:val="00F22B98"/>
    <w:rsid w:val="00F25A04"/>
    <w:rsid w:val="00F27B0F"/>
    <w:rsid w:val="00F32768"/>
    <w:rsid w:val="00F32856"/>
    <w:rsid w:val="00F32C94"/>
    <w:rsid w:val="00F34831"/>
    <w:rsid w:val="00F3525D"/>
    <w:rsid w:val="00F35F26"/>
    <w:rsid w:val="00F35F4E"/>
    <w:rsid w:val="00F3642C"/>
    <w:rsid w:val="00F36BAE"/>
    <w:rsid w:val="00F37011"/>
    <w:rsid w:val="00F37047"/>
    <w:rsid w:val="00F40149"/>
    <w:rsid w:val="00F42F5F"/>
    <w:rsid w:val="00F43342"/>
    <w:rsid w:val="00F450CB"/>
    <w:rsid w:val="00F5171E"/>
    <w:rsid w:val="00F51CCD"/>
    <w:rsid w:val="00F51D1D"/>
    <w:rsid w:val="00F522B5"/>
    <w:rsid w:val="00F537B2"/>
    <w:rsid w:val="00F54B2A"/>
    <w:rsid w:val="00F55BEB"/>
    <w:rsid w:val="00F55F2F"/>
    <w:rsid w:val="00F56DB3"/>
    <w:rsid w:val="00F57503"/>
    <w:rsid w:val="00F605B5"/>
    <w:rsid w:val="00F605BD"/>
    <w:rsid w:val="00F61F5D"/>
    <w:rsid w:val="00F6247C"/>
    <w:rsid w:val="00F6399A"/>
    <w:rsid w:val="00F66814"/>
    <w:rsid w:val="00F672C0"/>
    <w:rsid w:val="00F67CED"/>
    <w:rsid w:val="00F72D76"/>
    <w:rsid w:val="00F74B3C"/>
    <w:rsid w:val="00F7510C"/>
    <w:rsid w:val="00F754ED"/>
    <w:rsid w:val="00F7724C"/>
    <w:rsid w:val="00F776DE"/>
    <w:rsid w:val="00F77A35"/>
    <w:rsid w:val="00F77A3E"/>
    <w:rsid w:val="00F809D5"/>
    <w:rsid w:val="00F80A41"/>
    <w:rsid w:val="00F812E4"/>
    <w:rsid w:val="00F82182"/>
    <w:rsid w:val="00F8246A"/>
    <w:rsid w:val="00F85E3D"/>
    <w:rsid w:val="00F908F5"/>
    <w:rsid w:val="00F9095C"/>
    <w:rsid w:val="00F91236"/>
    <w:rsid w:val="00F92117"/>
    <w:rsid w:val="00F92662"/>
    <w:rsid w:val="00F928E9"/>
    <w:rsid w:val="00F9446F"/>
    <w:rsid w:val="00F95571"/>
    <w:rsid w:val="00F9686B"/>
    <w:rsid w:val="00F978BF"/>
    <w:rsid w:val="00FA0218"/>
    <w:rsid w:val="00FA07CD"/>
    <w:rsid w:val="00FA0FF6"/>
    <w:rsid w:val="00FA4414"/>
    <w:rsid w:val="00FA4461"/>
    <w:rsid w:val="00FA45F1"/>
    <w:rsid w:val="00FA51B0"/>
    <w:rsid w:val="00FA624C"/>
    <w:rsid w:val="00FA666A"/>
    <w:rsid w:val="00FA6A9E"/>
    <w:rsid w:val="00FA6F1B"/>
    <w:rsid w:val="00FA70B7"/>
    <w:rsid w:val="00FB091C"/>
    <w:rsid w:val="00FB198E"/>
    <w:rsid w:val="00FB2FD6"/>
    <w:rsid w:val="00FB52E4"/>
    <w:rsid w:val="00FB5B46"/>
    <w:rsid w:val="00FB6A7E"/>
    <w:rsid w:val="00FB7943"/>
    <w:rsid w:val="00FB7C5B"/>
    <w:rsid w:val="00FC09E4"/>
    <w:rsid w:val="00FC0CEF"/>
    <w:rsid w:val="00FC1839"/>
    <w:rsid w:val="00FC1C6C"/>
    <w:rsid w:val="00FC28D2"/>
    <w:rsid w:val="00FC2DFF"/>
    <w:rsid w:val="00FC2FE6"/>
    <w:rsid w:val="00FC4063"/>
    <w:rsid w:val="00FC4E36"/>
    <w:rsid w:val="00FC5F79"/>
    <w:rsid w:val="00FC76AF"/>
    <w:rsid w:val="00FC7944"/>
    <w:rsid w:val="00FD1C17"/>
    <w:rsid w:val="00FD1FCB"/>
    <w:rsid w:val="00FD5738"/>
    <w:rsid w:val="00FD5F35"/>
    <w:rsid w:val="00FD619B"/>
    <w:rsid w:val="00FD6276"/>
    <w:rsid w:val="00FD6281"/>
    <w:rsid w:val="00FD7D7A"/>
    <w:rsid w:val="00FE1149"/>
    <w:rsid w:val="00FE1B0A"/>
    <w:rsid w:val="00FE20AF"/>
    <w:rsid w:val="00FE2580"/>
    <w:rsid w:val="00FE2FFD"/>
    <w:rsid w:val="00FE45B0"/>
    <w:rsid w:val="00FE6696"/>
    <w:rsid w:val="00FE7EA2"/>
    <w:rsid w:val="00FF03C6"/>
    <w:rsid w:val="00FF0553"/>
    <w:rsid w:val="00FF22A6"/>
    <w:rsid w:val="00FF3418"/>
    <w:rsid w:val="00FF37E1"/>
    <w:rsid w:val="00FF3CBA"/>
    <w:rsid w:val="00FF3F4C"/>
    <w:rsid w:val="00FF4047"/>
    <w:rsid w:val="00FF4AF9"/>
    <w:rsid w:val="00FF6E12"/>
    <w:rsid w:val="00FF7D29"/>
    <w:rsid w:val="022E23DA"/>
    <w:rsid w:val="04677D6A"/>
    <w:rsid w:val="0481864F"/>
    <w:rsid w:val="04A4ABD4"/>
    <w:rsid w:val="0675EA2D"/>
    <w:rsid w:val="078AA8C2"/>
    <w:rsid w:val="088E0915"/>
    <w:rsid w:val="08CA9970"/>
    <w:rsid w:val="098FCA82"/>
    <w:rsid w:val="0A146B91"/>
    <w:rsid w:val="0A925DF1"/>
    <w:rsid w:val="0AD79F76"/>
    <w:rsid w:val="0B31B73D"/>
    <w:rsid w:val="0C2150D1"/>
    <w:rsid w:val="0CB5098C"/>
    <w:rsid w:val="0CDED883"/>
    <w:rsid w:val="0F779EEC"/>
    <w:rsid w:val="0F932955"/>
    <w:rsid w:val="0FCFC9F5"/>
    <w:rsid w:val="10AA86A3"/>
    <w:rsid w:val="13224ABA"/>
    <w:rsid w:val="1613CA8E"/>
    <w:rsid w:val="1762678E"/>
    <w:rsid w:val="1920E87E"/>
    <w:rsid w:val="1948346F"/>
    <w:rsid w:val="19A905D8"/>
    <w:rsid w:val="1B6D4DBD"/>
    <w:rsid w:val="1C918127"/>
    <w:rsid w:val="1CF8F5D0"/>
    <w:rsid w:val="1F1AE3E8"/>
    <w:rsid w:val="1FCD4B55"/>
    <w:rsid w:val="20CA9F30"/>
    <w:rsid w:val="20E5880A"/>
    <w:rsid w:val="21CE5481"/>
    <w:rsid w:val="22B825F6"/>
    <w:rsid w:val="252BD242"/>
    <w:rsid w:val="25C651F5"/>
    <w:rsid w:val="263C4AFD"/>
    <w:rsid w:val="26DED70C"/>
    <w:rsid w:val="273E6223"/>
    <w:rsid w:val="2824BA02"/>
    <w:rsid w:val="2978BBBD"/>
    <w:rsid w:val="29CAC3B7"/>
    <w:rsid w:val="29EC0829"/>
    <w:rsid w:val="2A06D6C6"/>
    <w:rsid w:val="2A904740"/>
    <w:rsid w:val="2AA32619"/>
    <w:rsid w:val="2AD0E38B"/>
    <w:rsid w:val="2B7CE5D8"/>
    <w:rsid w:val="2C36EA01"/>
    <w:rsid w:val="2D3E7788"/>
    <w:rsid w:val="2E4B9BBB"/>
    <w:rsid w:val="2EC26772"/>
    <w:rsid w:val="2F348C02"/>
    <w:rsid w:val="30296441"/>
    <w:rsid w:val="31F28426"/>
    <w:rsid w:val="3255B0AA"/>
    <w:rsid w:val="33FC9CAA"/>
    <w:rsid w:val="3426679A"/>
    <w:rsid w:val="371DDF79"/>
    <w:rsid w:val="3747D8D5"/>
    <w:rsid w:val="37B37D51"/>
    <w:rsid w:val="3836C32C"/>
    <w:rsid w:val="38727314"/>
    <w:rsid w:val="39305ADA"/>
    <w:rsid w:val="39F65C74"/>
    <w:rsid w:val="3AE4C282"/>
    <w:rsid w:val="3B9FA294"/>
    <w:rsid w:val="3D78B8C3"/>
    <w:rsid w:val="3EBB1C04"/>
    <w:rsid w:val="3EFA3D20"/>
    <w:rsid w:val="403AE4D5"/>
    <w:rsid w:val="42288F1B"/>
    <w:rsid w:val="429B0A98"/>
    <w:rsid w:val="435AB548"/>
    <w:rsid w:val="4560D384"/>
    <w:rsid w:val="45B451E7"/>
    <w:rsid w:val="472E9FEB"/>
    <w:rsid w:val="474D33CE"/>
    <w:rsid w:val="476E106C"/>
    <w:rsid w:val="4819E02D"/>
    <w:rsid w:val="48F8C5F9"/>
    <w:rsid w:val="4A01E128"/>
    <w:rsid w:val="4A244023"/>
    <w:rsid w:val="4AC00F63"/>
    <w:rsid w:val="4D4E6D2C"/>
    <w:rsid w:val="4F8D60C7"/>
    <w:rsid w:val="4FE87857"/>
    <w:rsid w:val="502C1985"/>
    <w:rsid w:val="502E7C08"/>
    <w:rsid w:val="52E1277C"/>
    <w:rsid w:val="541D4A1D"/>
    <w:rsid w:val="54F86335"/>
    <w:rsid w:val="552F4EF1"/>
    <w:rsid w:val="557F91DD"/>
    <w:rsid w:val="5669BAE7"/>
    <w:rsid w:val="57D3139B"/>
    <w:rsid w:val="58223C80"/>
    <w:rsid w:val="58FEB5F3"/>
    <w:rsid w:val="5917048B"/>
    <w:rsid w:val="59AA99AE"/>
    <w:rsid w:val="5B131DA9"/>
    <w:rsid w:val="5C6FADEA"/>
    <w:rsid w:val="5C830859"/>
    <w:rsid w:val="5D8C003B"/>
    <w:rsid w:val="5DC93515"/>
    <w:rsid w:val="5E19D396"/>
    <w:rsid w:val="5E3DC8F5"/>
    <w:rsid w:val="5ED58113"/>
    <w:rsid w:val="60D9B9DE"/>
    <w:rsid w:val="60FFEEAC"/>
    <w:rsid w:val="610687B4"/>
    <w:rsid w:val="61B41F72"/>
    <w:rsid w:val="63ADF3BE"/>
    <w:rsid w:val="64C25239"/>
    <w:rsid w:val="64F68111"/>
    <w:rsid w:val="650B58CE"/>
    <w:rsid w:val="65D47BD7"/>
    <w:rsid w:val="65E6ED6A"/>
    <w:rsid w:val="66B2A419"/>
    <w:rsid w:val="6723B9ED"/>
    <w:rsid w:val="67563F95"/>
    <w:rsid w:val="6A98E074"/>
    <w:rsid w:val="6AB8F009"/>
    <w:rsid w:val="6C3E2335"/>
    <w:rsid w:val="700FEA3B"/>
    <w:rsid w:val="701208EF"/>
    <w:rsid w:val="70A3E1ED"/>
    <w:rsid w:val="71B4158D"/>
    <w:rsid w:val="722E50A8"/>
    <w:rsid w:val="736389ED"/>
    <w:rsid w:val="75058A6E"/>
    <w:rsid w:val="753F7611"/>
    <w:rsid w:val="777105DB"/>
    <w:rsid w:val="78CE2F98"/>
    <w:rsid w:val="78E1E34B"/>
    <w:rsid w:val="78E26A8D"/>
    <w:rsid w:val="79CE6165"/>
    <w:rsid w:val="7AABAA50"/>
    <w:rsid w:val="7ABE8BF2"/>
    <w:rsid w:val="7B47A736"/>
    <w:rsid w:val="7C7AADE3"/>
    <w:rsid w:val="7D2D681D"/>
    <w:rsid w:val="7E33BDF0"/>
    <w:rsid w:val="7E43657F"/>
    <w:rsid w:val="7E65D6A4"/>
    <w:rsid w:val="7EFDFB5D"/>
    <w:rsid w:val="7FCB5FF0"/>
    <w:rsid w:val="7FF522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CE9D"/>
  <w15:chartTrackingRefBased/>
  <w15:docId w15:val="{67577824-2752-4A23-9D86-A5B0D7CA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72"/>
  </w:style>
  <w:style w:type="paragraph" w:styleId="Heading1">
    <w:name w:val="heading 1"/>
    <w:basedOn w:val="Normal"/>
    <w:next w:val="Normal"/>
    <w:link w:val="Heading1Char"/>
    <w:uiPriority w:val="9"/>
    <w:qFormat/>
    <w:rsid w:val="006B4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C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2E4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4C50"/>
    <w:rPr>
      <w:rFonts w:ascii="Arial" w:hAnsi="Arial"/>
      <w:color w:val="0000FF"/>
      <w:sz w:val="24"/>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1"/>
    <w:qFormat/>
    <w:rsid w:val="006B4C50"/>
    <w:pPr>
      <w:ind w:left="720"/>
      <w:contextualSpacing/>
    </w:p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6B4C50"/>
  </w:style>
  <w:style w:type="paragraph" w:styleId="FootnoteText">
    <w:name w:val="footnote text"/>
    <w:basedOn w:val="Normal"/>
    <w:link w:val="FootnoteTextChar"/>
    <w:uiPriority w:val="99"/>
    <w:unhideWhenUsed/>
    <w:qFormat/>
    <w:rsid w:val="006B4C50"/>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rsid w:val="006B4C50"/>
    <w:rPr>
      <w:rFonts w:ascii="Calibri" w:eastAsia="Calibri" w:hAnsi="Calibri" w:cs="Times New Roman"/>
      <w:sz w:val="20"/>
      <w:szCs w:val="20"/>
      <w:lang w:eastAsia="en-GB"/>
    </w:rPr>
  </w:style>
  <w:style w:type="character" w:styleId="FootnoteReference">
    <w:name w:val="footnote reference"/>
    <w:basedOn w:val="DefaultParagraphFont"/>
    <w:uiPriority w:val="99"/>
    <w:unhideWhenUsed/>
    <w:rsid w:val="006B4C50"/>
    <w:rPr>
      <w:vertAlign w:val="superscript"/>
    </w:rPr>
  </w:style>
  <w:style w:type="paragraph" w:customStyle="1" w:styleId="Submissionnumberedparagraph">
    <w:name w:val="Submission numbered paragraph"/>
    <w:link w:val="SubmissionnumberedparagraphChar"/>
    <w:rsid w:val="006B4C50"/>
    <w:pPr>
      <w:numPr>
        <w:numId w:val="2"/>
      </w:numPr>
      <w:spacing w:after="240" w:line="280" w:lineRule="exact"/>
    </w:pPr>
    <w:rPr>
      <w:rFonts w:eastAsia="Times New Roman" w:cs="Times New Roman"/>
      <w:lang w:eastAsia="en-GB"/>
    </w:rPr>
  </w:style>
  <w:style w:type="paragraph" w:customStyle="1" w:styleId="FooterConfidentiality">
    <w:name w:val="FooterConfidentiality"/>
    <w:basedOn w:val="Normal"/>
    <w:link w:val="FooterConfidentialityChar"/>
    <w:rsid w:val="006B4C50"/>
    <w:pPr>
      <w:spacing w:after="0" w:line="240" w:lineRule="auto"/>
      <w:ind w:left="567"/>
      <w:jc w:val="center"/>
    </w:pPr>
    <w:rPr>
      <w:rFonts w:eastAsia="Times" w:cs="Times New Roman"/>
      <w:b/>
    </w:rPr>
  </w:style>
  <w:style w:type="character" w:customStyle="1" w:styleId="SubmissionnumberedparagraphChar">
    <w:name w:val="Submission numbered paragraph Char"/>
    <w:link w:val="Submissionnumberedparagraph"/>
    <w:locked/>
    <w:rsid w:val="006B4C50"/>
    <w:rPr>
      <w:rFonts w:eastAsia="Times New Roman" w:cs="Times New Roman"/>
      <w:lang w:eastAsia="en-GB"/>
    </w:rPr>
  </w:style>
  <w:style w:type="character" w:customStyle="1" w:styleId="normaltextrun">
    <w:name w:val="normaltextrun"/>
    <w:basedOn w:val="DefaultParagraphFont"/>
    <w:rsid w:val="006B4C50"/>
  </w:style>
  <w:style w:type="character" w:customStyle="1" w:styleId="eop">
    <w:name w:val="eop"/>
    <w:basedOn w:val="DefaultParagraphFont"/>
    <w:rsid w:val="006B4C50"/>
  </w:style>
  <w:style w:type="paragraph" w:customStyle="1" w:styleId="Style1">
    <w:name w:val="Style1"/>
    <w:basedOn w:val="FooterConfidentiality"/>
    <w:link w:val="Style1Char"/>
    <w:qFormat/>
    <w:rsid w:val="006B4C50"/>
    <w:pPr>
      <w:widowControl w:val="0"/>
      <w:spacing w:before="120" w:after="120"/>
      <w:ind w:left="0"/>
      <w:jc w:val="left"/>
    </w:pPr>
    <w:rPr>
      <w:rFonts w:cs="Arial"/>
      <w:b w:val="0"/>
      <w:bCs/>
      <w:color w:val="7030A0"/>
      <w:sz w:val="28"/>
    </w:rPr>
  </w:style>
  <w:style w:type="character" w:customStyle="1" w:styleId="Heading1Char">
    <w:name w:val="Heading 1 Char"/>
    <w:basedOn w:val="DefaultParagraphFont"/>
    <w:link w:val="Heading1"/>
    <w:uiPriority w:val="9"/>
    <w:rsid w:val="006B4C50"/>
    <w:rPr>
      <w:rFonts w:asciiTheme="majorHAnsi" w:eastAsiaTheme="majorEastAsia" w:hAnsiTheme="majorHAnsi" w:cstheme="majorBidi"/>
      <w:color w:val="2F5496" w:themeColor="accent1" w:themeShade="BF"/>
      <w:sz w:val="32"/>
      <w:szCs w:val="32"/>
    </w:rPr>
  </w:style>
  <w:style w:type="character" w:customStyle="1" w:styleId="FooterConfidentialityChar">
    <w:name w:val="FooterConfidentiality Char"/>
    <w:basedOn w:val="DefaultParagraphFont"/>
    <w:link w:val="FooterConfidentiality"/>
    <w:rsid w:val="006B4C50"/>
    <w:rPr>
      <w:rFonts w:ascii="Arial" w:eastAsia="Times" w:hAnsi="Arial" w:cs="Times New Roman"/>
      <w:b/>
    </w:rPr>
  </w:style>
  <w:style w:type="character" w:customStyle="1" w:styleId="Style1Char">
    <w:name w:val="Style1 Char"/>
    <w:basedOn w:val="FooterConfidentialityChar"/>
    <w:link w:val="Style1"/>
    <w:rsid w:val="006B4C50"/>
    <w:rPr>
      <w:rFonts w:ascii="Arial" w:eastAsia="Times" w:hAnsi="Arial" w:cs="Arial"/>
      <w:b w:val="0"/>
      <w:bCs/>
      <w:color w:val="7030A0"/>
      <w:sz w:val="28"/>
      <w:szCs w:val="24"/>
    </w:rPr>
  </w:style>
  <w:style w:type="paragraph" w:styleId="TOCHeading">
    <w:name w:val="TOC Heading"/>
    <w:basedOn w:val="Heading1"/>
    <w:next w:val="Normal"/>
    <w:uiPriority w:val="39"/>
    <w:unhideWhenUsed/>
    <w:qFormat/>
    <w:rsid w:val="006B4C50"/>
    <w:pPr>
      <w:outlineLvl w:val="9"/>
    </w:pPr>
    <w:rPr>
      <w:lang w:val="en-US"/>
    </w:rPr>
  </w:style>
  <w:style w:type="paragraph" w:styleId="NoSpacing">
    <w:name w:val="No Spacing"/>
    <w:aliases w:val="Garamond 13,Top Line points,Standard para"/>
    <w:link w:val="NoSpacingChar"/>
    <w:uiPriority w:val="1"/>
    <w:qFormat/>
    <w:rsid w:val="006B4C50"/>
    <w:pPr>
      <w:spacing w:after="0" w:line="240" w:lineRule="auto"/>
    </w:pPr>
  </w:style>
  <w:style w:type="character" w:customStyle="1" w:styleId="Heading2Char">
    <w:name w:val="Heading 2 Char"/>
    <w:basedOn w:val="DefaultParagraphFont"/>
    <w:link w:val="Heading2"/>
    <w:uiPriority w:val="9"/>
    <w:rsid w:val="006B4C5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852E0A"/>
    <w:pPr>
      <w:tabs>
        <w:tab w:val="right" w:leader="dot" w:pos="9628"/>
      </w:tabs>
      <w:spacing w:after="100"/>
    </w:pPr>
    <w:rPr>
      <w:noProof/>
    </w:rPr>
  </w:style>
  <w:style w:type="character" w:styleId="UnresolvedMention">
    <w:name w:val="Unresolved Mention"/>
    <w:basedOn w:val="DefaultParagraphFont"/>
    <w:uiPriority w:val="99"/>
    <w:semiHidden/>
    <w:unhideWhenUsed/>
    <w:rsid w:val="006B4C50"/>
    <w:rPr>
      <w:color w:val="605E5C"/>
      <w:shd w:val="clear" w:color="auto" w:fill="E1DFDD"/>
    </w:rPr>
  </w:style>
  <w:style w:type="character" w:customStyle="1" w:styleId="NoSpacingChar">
    <w:name w:val="No Spacing Char"/>
    <w:aliases w:val="Garamond 13 Char,Top Line points Char,Standard para Char"/>
    <w:basedOn w:val="DefaultParagraphFont"/>
    <w:link w:val="NoSpacing"/>
    <w:uiPriority w:val="1"/>
    <w:rsid w:val="00EF1C95"/>
  </w:style>
  <w:style w:type="paragraph" w:customStyle="1" w:styleId="Cover-Title">
    <w:name w:val="Cover - Title"/>
    <w:next w:val="Cover-Subtitle"/>
    <w:rsid w:val="004E6F72"/>
    <w:pPr>
      <w:spacing w:after="120" w:line="240" w:lineRule="auto"/>
    </w:pPr>
    <w:rPr>
      <w:rFonts w:eastAsia="Times New Roman"/>
      <w:b/>
      <w:color w:val="8F23B3"/>
      <w:sz w:val="52"/>
      <w:szCs w:val="52"/>
      <w:lang w:eastAsia="en-GB"/>
    </w:rPr>
  </w:style>
  <w:style w:type="paragraph" w:customStyle="1" w:styleId="Cover-Subtitle">
    <w:name w:val="Cover - Subtitle"/>
    <w:rsid w:val="004E6F72"/>
    <w:pPr>
      <w:spacing w:after="720" w:line="240" w:lineRule="auto"/>
    </w:pPr>
    <w:rPr>
      <w:rFonts w:eastAsia="Times New Roman"/>
      <w:color w:val="8F23B3"/>
      <w:sz w:val="52"/>
      <w:szCs w:val="52"/>
      <w:lang w:eastAsia="en-GB"/>
    </w:rPr>
  </w:style>
  <w:style w:type="paragraph" w:styleId="Header">
    <w:name w:val="header"/>
    <w:basedOn w:val="Normal"/>
    <w:link w:val="HeaderChar"/>
    <w:unhideWhenUsed/>
    <w:rsid w:val="00E86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932"/>
  </w:style>
  <w:style w:type="paragraph" w:styleId="Footer">
    <w:name w:val="footer"/>
    <w:basedOn w:val="Normal"/>
    <w:link w:val="FooterChar"/>
    <w:uiPriority w:val="99"/>
    <w:unhideWhenUsed/>
    <w:rsid w:val="00E86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932"/>
  </w:style>
  <w:style w:type="paragraph" w:styleId="BodyText">
    <w:name w:val="Body Text"/>
    <w:link w:val="BodyTextChar"/>
    <w:qFormat/>
    <w:rsid w:val="00F40149"/>
    <w:pPr>
      <w:spacing w:after="240" w:line="288" w:lineRule="auto"/>
    </w:pPr>
    <w:rPr>
      <w:rFonts w:eastAsia="Times New Roman" w:cs="Times New Roman"/>
      <w:lang w:eastAsia="en-GB"/>
    </w:rPr>
  </w:style>
  <w:style w:type="character" w:customStyle="1" w:styleId="BodyTextChar">
    <w:name w:val="Body Text Char"/>
    <w:basedOn w:val="DefaultParagraphFont"/>
    <w:link w:val="BodyText"/>
    <w:uiPriority w:val="99"/>
    <w:rsid w:val="00F40149"/>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F40149"/>
    <w:rPr>
      <w:sz w:val="16"/>
      <w:szCs w:val="16"/>
    </w:rPr>
  </w:style>
  <w:style w:type="paragraph" w:styleId="CommentText">
    <w:name w:val="annotation text"/>
    <w:basedOn w:val="Normal"/>
    <w:link w:val="CommentTextChar"/>
    <w:uiPriority w:val="99"/>
    <w:unhideWhenUsed/>
    <w:rsid w:val="00F40149"/>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40149"/>
    <w:rPr>
      <w:rFonts w:ascii="Arial" w:eastAsia="Times New Roman" w:hAnsi="Arial" w:cs="Times New Roman"/>
      <w:sz w:val="20"/>
      <w:szCs w:val="20"/>
      <w:lang w:eastAsia="en-GB"/>
    </w:rPr>
  </w:style>
  <w:style w:type="character" w:styleId="Mention">
    <w:name w:val="Mention"/>
    <w:basedOn w:val="DefaultParagraphFont"/>
    <w:uiPriority w:val="99"/>
    <w:unhideWhenUsed/>
    <w:rsid w:val="00F40149"/>
    <w:rPr>
      <w:color w:val="2B579A"/>
      <w:shd w:val="clear" w:color="auto" w:fill="E1DFDD"/>
    </w:rPr>
  </w:style>
  <w:style w:type="paragraph" w:styleId="NormalWeb">
    <w:name w:val="Normal (Web)"/>
    <w:basedOn w:val="Normal"/>
    <w:uiPriority w:val="99"/>
    <w:unhideWhenUsed/>
    <w:rsid w:val="005D2BE4"/>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E465C5"/>
    <w:pPr>
      <w:spacing w:after="160"/>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E465C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semiHidden/>
    <w:rsid w:val="00682E43"/>
    <w:rPr>
      <w:rFonts w:asciiTheme="majorHAnsi" w:eastAsiaTheme="majorEastAsia" w:hAnsiTheme="majorHAnsi" w:cstheme="majorBidi"/>
      <w:color w:val="1F3763" w:themeColor="accent1" w:themeShade="7F"/>
    </w:rPr>
  </w:style>
  <w:style w:type="paragraph" w:styleId="ListNumber">
    <w:name w:val="List Number"/>
    <w:rsid w:val="00682E43"/>
    <w:pPr>
      <w:numPr>
        <w:numId w:val="6"/>
      </w:numPr>
      <w:spacing w:after="240" w:line="288" w:lineRule="auto"/>
    </w:pPr>
    <w:rPr>
      <w:rFonts w:eastAsia="Times New Roman" w:cs="Times New Roman"/>
      <w:lang w:eastAsia="en-GB"/>
    </w:rPr>
  </w:style>
  <w:style w:type="paragraph" w:customStyle="1" w:styleId="BoxedBullet">
    <w:name w:val="Boxed Bullet"/>
    <w:basedOn w:val="Normal"/>
    <w:qFormat/>
    <w:rsid w:val="00682E43"/>
    <w:pPr>
      <w:keepLines/>
      <w:numPr>
        <w:numId w:val="7"/>
      </w:numPr>
      <w:pBdr>
        <w:top w:val="single" w:sz="8" w:space="4" w:color="8F23B3"/>
        <w:left w:val="single" w:sz="8" w:space="4" w:color="8F23B3"/>
        <w:bottom w:val="single" w:sz="8" w:space="4" w:color="8F23B3"/>
        <w:right w:val="single" w:sz="8" w:space="4" w:color="8F23B3"/>
      </w:pBdr>
      <w:shd w:val="clear" w:color="auto" w:fill="F4E9F7"/>
      <w:spacing w:after="240" w:line="288" w:lineRule="auto"/>
    </w:pPr>
    <w:rPr>
      <w:rFonts w:eastAsia="Times New Roman" w:cs="Courier New"/>
      <w:lang w:eastAsia="en-GB"/>
    </w:rPr>
  </w:style>
  <w:style w:type="paragraph" w:customStyle="1" w:styleId="Heading-contents">
    <w:name w:val="Heading - contents"/>
    <w:basedOn w:val="Heading1"/>
    <w:next w:val="Normal"/>
    <w:semiHidden/>
    <w:rsid w:val="00682E43"/>
    <w:pPr>
      <w:keepLines w:val="0"/>
      <w:pageBreakBefore/>
      <w:spacing w:before="0" w:after="720" w:line="240" w:lineRule="auto"/>
    </w:pPr>
    <w:rPr>
      <w:rFonts w:ascii="Arial" w:eastAsia="Times New Roman" w:hAnsi="Arial" w:cs="Times New Roman"/>
      <w:color w:val="8F23B3"/>
      <w:sz w:val="52"/>
      <w:szCs w:val="20"/>
      <w:lang w:eastAsia="en-GB"/>
    </w:rPr>
  </w:style>
  <w:style w:type="paragraph" w:styleId="TOC3">
    <w:name w:val="toc 3"/>
    <w:basedOn w:val="Normal"/>
    <w:next w:val="Normal"/>
    <w:autoRedefine/>
    <w:uiPriority w:val="39"/>
    <w:unhideWhenUsed/>
    <w:rsid w:val="002C14AF"/>
    <w:pPr>
      <w:spacing w:after="100"/>
      <w:ind w:left="480"/>
    </w:pPr>
  </w:style>
  <w:style w:type="character" w:styleId="FollowedHyperlink">
    <w:name w:val="FollowedHyperlink"/>
    <w:basedOn w:val="DefaultParagraphFont"/>
    <w:uiPriority w:val="99"/>
    <w:semiHidden/>
    <w:unhideWhenUsed/>
    <w:rsid w:val="005E4E1C"/>
    <w:rPr>
      <w:color w:val="954F72" w:themeColor="followedHyperlink"/>
      <w:u w:val="single"/>
    </w:rPr>
  </w:style>
  <w:style w:type="character" w:customStyle="1" w:styleId="ui-provider">
    <w:name w:val="ui-provider"/>
    <w:basedOn w:val="DefaultParagraphFont"/>
    <w:rsid w:val="00D1518F"/>
  </w:style>
  <w:style w:type="paragraph" w:styleId="Revision">
    <w:name w:val="Revision"/>
    <w:hidden/>
    <w:uiPriority w:val="99"/>
    <w:semiHidden/>
    <w:rsid w:val="006A3E36"/>
    <w:pPr>
      <w:spacing w:after="0" w:line="240" w:lineRule="auto"/>
    </w:pPr>
  </w:style>
  <w:style w:type="table" w:styleId="TableGrid">
    <w:name w:val="Table Grid"/>
    <w:basedOn w:val="TableNormal"/>
    <w:uiPriority w:val="39"/>
    <w:rsid w:val="00E9348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rsid w:val="00527F6A"/>
    <w:pPr>
      <w:numPr>
        <w:numId w:val="10"/>
      </w:numPr>
      <w:spacing w:after="240" w:line="288" w:lineRule="auto"/>
    </w:pPr>
    <w:rPr>
      <w:rFonts w:eastAsia="Times New Roman" w:cs="Times New Roman"/>
      <w:lang w:eastAsia="en-GB"/>
    </w:rPr>
  </w:style>
  <w:style w:type="paragraph" w:customStyle="1" w:styleId="paragraph">
    <w:name w:val="paragraph"/>
    <w:basedOn w:val="Normal"/>
    <w:rsid w:val="00403A4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BoxedText">
    <w:name w:val="Boxed Text"/>
    <w:qFormat/>
    <w:rsid w:val="00AC3A48"/>
    <w:pPr>
      <w:keepLines/>
      <w:pBdr>
        <w:top w:val="single" w:sz="8" w:space="4" w:color="8F23B3"/>
        <w:left w:val="single" w:sz="8" w:space="4" w:color="8F23B3"/>
        <w:bottom w:val="single" w:sz="8" w:space="4" w:color="8F23B3"/>
        <w:right w:val="single" w:sz="8" w:space="4" w:color="8F23B3"/>
      </w:pBdr>
      <w:shd w:val="clear" w:color="auto" w:fill="F4E9F7"/>
      <w:spacing w:after="240" w:line="288" w:lineRule="auto"/>
      <w:ind w:left="357" w:hanging="357"/>
    </w:pPr>
    <w:rPr>
      <w:rFonts w:eastAsia="Times New Roman" w:cs="Courier New"/>
      <w:lang w:eastAsia="en-GB"/>
    </w:rPr>
  </w:style>
  <w:style w:type="paragraph" w:styleId="BodyTextIndent">
    <w:name w:val="Body Text Indent"/>
    <w:basedOn w:val="Normal"/>
    <w:link w:val="BodyTextIndentChar"/>
    <w:uiPriority w:val="99"/>
    <w:semiHidden/>
    <w:unhideWhenUsed/>
    <w:rsid w:val="00373ED8"/>
    <w:pPr>
      <w:spacing w:after="120" w:line="276" w:lineRule="auto"/>
      <w:ind w:left="283" w:hanging="357"/>
    </w:pPr>
    <w:rPr>
      <w:rFonts w:eastAsia="Times New Roman" w:cs="Times New Roman"/>
      <w:lang w:eastAsia="en-GB"/>
    </w:rPr>
  </w:style>
  <w:style w:type="character" w:customStyle="1" w:styleId="BodyTextIndentChar">
    <w:name w:val="Body Text Indent Char"/>
    <w:basedOn w:val="DefaultParagraphFont"/>
    <w:link w:val="BodyTextIndent"/>
    <w:uiPriority w:val="99"/>
    <w:semiHidden/>
    <w:rsid w:val="00373ED8"/>
    <w:rPr>
      <w:rFonts w:eastAsia="Times New Roman" w:cs="Times New Roman"/>
      <w:lang w:eastAsia="en-GB"/>
    </w:rPr>
  </w:style>
  <w:style w:type="paragraph" w:customStyle="1" w:styleId="Heading1briefing">
    <w:name w:val="Heading 1 briefing"/>
    <w:basedOn w:val="Heading1"/>
    <w:link w:val="Heading1briefingChar"/>
    <w:qFormat/>
    <w:rsid w:val="00B46AB4"/>
    <w:pPr>
      <w:jc w:val="both"/>
    </w:pPr>
    <w:rPr>
      <w:rFonts w:ascii="Arial" w:hAnsi="Arial" w:cs="Arial"/>
      <w:color w:val="7030A0"/>
      <w:sz w:val="36"/>
      <w:szCs w:val="36"/>
    </w:rPr>
  </w:style>
  <w:style w:type="paragraph" w:styleId="TOC2">
    <w:name w:val="toc 2"/>
    <w:basedOn w:val="Normal"/>
    <w:next w:val="Normal"/>
    <w:autoRedefine/>
    <w:uiPriority w:val="39"/>
    <w:unhideWhenUsed/>
    <w:rsid w:val="00B405E9"/>
    <w:pPr>
      <w:spacing w:after="100"/>
      <w:ind w:left="240"/>
    </w:pPr>
  </w:style>
  <w:style w:type="character" w:customStyle="1" w:styleId="Heading1briefingChar">
    <w:name w:val="Heading 1 briefing Char"/>
    <w:basedOn w:val="Heading1Char"/>
    <w:link w:val="Heading1briefing"/>
    <w:rsid w:val="00B46AB4"/>
    <w:rPr>
      <w:rFonts w:asciiTheme="majorHAnsi" w:eastAsiaTheme="majorEastAsia" w:hAnsiTheme="majorHAnsi" w:cstheme="majorBidi"/>
      <w:color w:val="7030A0"/>
      <w:sz w:val="36"/>
      <w:szCs w:val="36"/>
    </w:rPr>
  </w:style>
  <w:style w:type="character" w:customStyle="1" w:styleId="cf01">
    <w:name w:val="cf01"/>
    <w:basedOn w:val="DefaultParagraphFont"/>
    <w:rsid w:val="002D2CCA"/>
    <w:rPr>
      <w:rFonts w:ascii="Segoe UI" w:hAnsi="Segoe UI" w:cs="Segoe UI" w:hint="default"/>
      <w:sz w:val="18"/>
      <w:szCs w:val="18"/>
    </w:rPr>
  </w:style>
  <w:style w:type="paragraph" w:customStyle="1" w:styleId="Default">
    <w:name w:val="Default"/>
    <w:rsid w:val="00EE47C9"/>
    <w:pPr>
      <w:autoSpaceDE w:val="0"/>
      <w:autoSpaceDN w:val="0"/>
      <w:adjustRightInd w:val="0"/>
      <w:spacing w:after="0" w:line="240" w:lineRule="auto"/>
    </w:pPr>
    <w:rPr>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1">
      <w:bodyDiv w:val="1"/>
      <w:marLeft w:val="0"/>
      <w:marRight w:val="0"/>
      <w:marTop w:val="0"/>
      <w:marBottom w:val="0"/>
      <w:divBdr>
        <w:top w:val="none" w:sz="0" w:space="0" w:color="auto"/>
        <w:left w:val="none" w:sz="0" w:space="0" w:color="auto"/>
        <w:bottom w:val="none" w:sz="0" w:space="0" w:color="auto"/>
        <w:right w:val="none" w:sz="0" w:space="0" w:color="auto"/>
      </w:divBdr>
    </w:div>
    <w:div w:id="27269019">
      <w:bodyDiv w:val="1"/>
      <w:marLeft w:val="0"/>
      <w:marRight w:val="0"/>
      <w:marTop w:val="0"/>
      <w:marBottom w:val="0"/>
      <w:divBdr>
        <w:top w:val="none" w:sz="0" w:space="0" w:color="auto"/>
        <w:left w:val="none" w:sz="0" w:space="0" w:color="auto"/>
        <w:bottom w:val="none" w:sz="0" w:space="0" w:color="auto"/>
        <w:right w:val="none" w:sz="0" w:space="0" w:color="auto"/>
      </w:divBdr>
    </w:div>
    <w:div w:id="104078635">
      <w:bodyDiv w:val="1"/>
      <w:marLeft w:val="0"/>
      <w:marRight w:val="0"/>
      <w:marTop w:val="0"/>
      <w:marBottom w:val="0"/>
      <w:divBdr>
        <w:top w:val="none" w:sz="0" w:space="0" w:color="auto"/>
        <w:left w:val="none" w:sz="0" w:space="0" w:color="auto"/>
        <w:bottom w:val="none" w:sz="0" w:space="0" w:color="auto"/>
        <w:right w:val="none" w:sz="0" w:space="0" w:color="auto"/>
      </w:divBdr>
    </w:div>
    <w:div w:id="238104981">
      <w:bodyDiv w:val="1"/>
      <w:marLeft w:val="0"/>
      <w:marRight w:val="0"/>
      <w:marTop w:val="0"/>
      <w:marBottom w:val="0"/>
      <w:divBdr>
        <w:top w:val="none" w:sz="0" w:space="0" w:color="auto"/>
        <w:left w:val="none" w:sz="0" w:space="0" w:color="auto"/>
        <w:bottom w:val="none" w:sz="0" w:space="0" w:color="auto"/>
        <w:right w:val="none" w:sz="0" w:space="0" w:color="auto"/>
      </w:divBdr>
    </w:div>
    <w:div w:id="386145860">
      <w:bodyDiv w:val="1"/>
      <w:marLeft w:val="0"/>
      <w:marRight w:val="0"/>
      <w:marTop w:val="0"/>
      <w:marBottom w:val="0"/>
      <w:divBdr>
        <w:top w:val="none" w:sz="0" w:space="0" w:color="auto"/>
        <w:left w:val="none" w:sz="0" w:space="0" w:color="auto"/>
        <w:bottom w:val="none" w:sz="0" w:space="0" w:color="auto"/>
        <w:right w:val="none" w:sz="0" w:space="0" w:color="auto"/>
      </w:divBdr>
    </w:div>
    <w:div w:id="417100151">
      <w:bodyDiv w:val="1"/>
      <w:marLeft w:val="0"/>
      <w:marRight w:val="0"/>
      <w:marTop w:val="0"/>
      <w:marBottom w:val="0"/>
      <w:divBdr>
        <w:top w:val="none" w:sz="0" w:space="0" w:color="auto"/>
        <w:left w:val="none" w:sz="0" w:space="0" w:color="auto"/>
        <w:bottom w:val="none" w:sz="0" w:space="0" w:color="auto"/>
        <w:right w:val="none" w:sz="0" w:space="0" w:color="auto"/>
      </w:divBdr>
    </w:div>
    <w:div w:id="750348623">
      <w:bodyDiv w:val="1"/>
      <w:marLeft w:val="0"/>
      <w:marRight w:val="0"/>
      <w:marTop w:val="0"/>
      <w:marBottom w:val="0"/>
      <w:divBdr>
        <w:top w:val="none" w:sz="0" w:space="0" w:color="auto"/>
        <w:left w:val="none" w:sz="0" w:space="0" w:color="auto"/>
        <w:bottom w:val="none" w:sz="0" w:space="0" w:color="auto"/>
        <w:right w:val="none" w:sz="0" w:space="0" w:color="auto"/>
      </w:divBdr>
    </w:div>
    <w:div w:id="810945873">
      <w:bodyDiv w:val="1"/>
      <w:marLeft w:val="0"/>
      <w:marRight w:val="0"/>
      <w:marTop w:val="0"/>
      <w:marBottom w:val="0"/>
      <w:divBdr>
        <w:top w:val="none" w:sz="0" w:space="0" w:color="auto"/>
        <w:left w:val="none" w:sz="0" w:space="0" w:color="auto"/>
        <w:bottom w:val="none" w:sz="0" w:space="0" w:color="auto"/>
        <w:right w:val="none" w:sz="0" w:space="0" w:color="auto"/>
      </w:divBdr>
      <w:divsChild>
        <w:div w:id="226383338">
          <w:marLeft w:val="0"/>
          <w:marRight w:val="0"/>
          <w:marTop w:val="0"/>
          <w:marBottom w:val="0"/>
          <w:divBdr>
            <w:top w:val="none" w:sz="0" w:space="0" w:color="auto"/>
            <w:left w:val="none" w:sz="0" w:space="0" w:color="auto"/>
            <w:bottom w:val="none" w:sz="0" w:space="0" w:color="auto"/>
            <w:right w:val="none" w:sz="0" w:space="0" w:color="auto"/>
          </w:divBdr>
        </w:div>
        <w:div w:id="297880536">
          <w:marLeft w:val="0"/>
          <w:marRight w:val="0"/>
          <w:marTop w:val="0"/>
          <w:marBottom w:val="0"/>
          <w:divBdr>
            <w:top w:val="none" w:sz="0" w:space="0" w:color="auto"/>
            <w:left w:val="none" w:sz="0" w:space="0" w:color="auto"/>
            <w:bottom w:val="none" w:sz="0" w:space="0" w:color="auto"/>
            <w:right w:val="none" w:sz="0" w:space="0" w:color="auto"/>
          </w:divBdr>
        </w:div>
        <w:div w:id="302926844">
          <w:marLeft w:val="0"/>
          <w:marRight w:val="0"/>
          <w:marTop w:val="0"/>
          <w:marBottom w:val="0"/>
          <w:divBdr>
            <w:top w:val="none" w:sz="0" w:space="0" w:color="auto"/>
            <w:left w:val="none" w:sz="0" w:space="0" w:color="auto"/>
            <w:bottom w:val="none" w:sz="0" w:space="0" w:color="auto"/>
            <w:right w:val="none" w:sz="0" w:space="0" w:color="auto"/>
          </w:divBdr>
        </w:div>
        <w:div w:id="378558682">
          <w:marLeft w:val="0"/>
          <w:marRight w:val="0"/>
          <w:marTop w:val="0"/>
          <w:marBottom w:val="0"/>
          <w:divBdr>
            <w:top w:val="none" w:sz="0" w:space="0" w:color="auto"/>
            <w:left w:val="none" w:sz="0" w:space="0" w:color="auto"/>
            <w:bottom w:val="none" w:sz="0" w:space="0" w:color="auto"/>
            <w:right w:val="none" w:sz="0" w:space="0" w:color="auto"/>
          </w:divBdr>
        </w:div>
        <w:div w:id="958098993">
          <w:marLeft w:val="0"/>
          <w:marRight w:val="0"/>
          <w:marTop w:val="0"/>
          <w:marBottom w:val="0"/>
          <w:divBdr>
            <w:top w:val="none" w:sz="0" w:space="0" w:color="auto"/>
            <w:left w:val="none" w:sz="0" w:space="0" w:color="auto"/>
            <w:bottom w:val="none" w:sz="0" w:space="0" w:color="auto"/>
            <w:right w:val="none" w:sz="0" w:space="0" w:color="auto"/>
          </w:divBdr>
        </w:div>
        <w:div w:id="997223080">
          <w:marLeft w:val="0"/>
          <w:marRight w:val="0"/>
          <w:marTop w:val="0"/>
          <w:marBottom w:val="0"/>
          <w:divBdr>
            <w:top w:val="none" w:sz="0" w:space="0" w:color="auto"/>
            <w:left w:val="none" w:sz="0" w:space="0" w:color="auto"/>
            <w:bottom w:val="none" w:sz="0" w:space="0" w:color="auto"/>
            <w:right w:val="none" w:sz="0" w:space="0" w:color="auto"/>
          </w:divBdr>
        </w:div>
        <w:div w:id="1002242538">
          <w:marLeft w:val="0"/>
          <w:marRight w:val="0"/>
          <w:marTop w:val="0"/>
          <w:marBottom w:val="0"/>
          <w:divBdr>
            <w:top w:val="none" w:sz="0" w:space="0" w:color="auto"/>
            <w:left w:val="none" w:sz="0" w:space="0" w:color="auto"/>
            <w:bottom w:val="none" w:sz="0" w:space="0" w:color="auto"/>
            <w:right w:val="none" w:sz="0" w:space="0" w:color="auto"/>
          </w:divBdr>
        </w:div>
        <w:div w:id="1057627089">
          <w:marLeft w:val="0"/>
          <w:marRight w:val="0"/>
          <w:marTop w:val="0"/>
          <w:marBottom w:val="0"/>
          <w:divBdr>
            <w:top w:val="none" w:sz="0" w:space="0" w:color="auto"/>
            <w:left w:val="none" w:sz="0" w:space="0" w:color="auto"/>
            <w:bottom w:val="none" w:sz="0" w:space="0" w:color="auto"/>
            <w:right w:val="none" w:sz="0" w:space="0" w:color="auto"/>
          </w:divBdr>
        </w:div>
        <w:div w:id="1562670015">
          <w:marLeft w:val="0"/>
          <w:marRight w:val="0"/>
          <w:marTop w:val="0"/>
          <w:marBottom w:val="0"/>
          <w:divBdr>
            <w:top w:val="none" w:sz="0" w:space="0" w:color="auto"/>
            <w:left w:val="none" w:sz="0" w:space="0" w:color="auto"/>
            <w:bottom w:val="none" w:sz="0" w:space="0" w:color="auto"/>
            <w:right w:val="none" w:sz="0" w:space="0" w:color="auto"/>
          </w:divBdr>
        </w:div>
        <w:div w:id="1687516760">
          <w:marLeft w:val="0"/>
          <w:marRight w:val="0"/>
          <w:marTop w:val="0"/>
          <w:marBottom w:val="0"/>
          <w:divBdr>
            <w:top w:val="none" w:sz="0" w:space="0" w:color="auto"/>
            <w:left w:val="none" w:sz="0" w:space="0" w:color="auto"/>
            <w:bottom w:val="none" w:sz="0" w:space="0" w:color="auto"/>
            <w:right w:val="none" w:sz="0" w:space="0" w:color="auto"/>
          </w:divBdr>
        </w:div>
        <w:div w:id="1915242301">
          <w:marLeft w:val="0"/>
          <w:marRight w:val="0"/>
          <w:marTop w:val="0"/>
          <w:marBottom w:val="0"/>
          <w:divBdr>
            <w:top w:val="none" w:sz="0" w:space="0" w:color="auto"/>
            <w:left w:val="none" w:sz="0" w:space="0" w:color="auto"/>
            <w:bottom w:val="none" w:sz="0" w:space="0" w:color="auto"/>
            <w:right w:val="none" w:sz="0" w:space="0" w:color="auto"/>
          </w:divBdr>
        </w:div>
      </w:divsChild>
    </w:div>
    <w:div w:id="817310730">
      <w:bodyDiv w:val="1"/>
      <w:marLeft w:val="0"/>
      <w:marRight w:val="0"/>
      <w:marTop w:val="0"/>
      <w:marBottom w:val="0"/>
      <w:divBdr>
        <w:top w:val="none" w:sz="0" w:space="0" w:color="auto"/>
        <w:left w:val="none" w:sz="0" w:space="0" w:color="auto"/>
        <w:bottom w:val="none" w:sz="0" w:space="0" w:color="auto"/>
        <w:right w:val="none" w:sz="0" w:space="0" w:color="auto"/>
      </w:divBdr>
      <w:divsChild>
        <w:div w:id="501361618">
          <w:marLeft w:val="0"/>
          <w:marRight w:val="0"/>
          <w:marTop w:val="0"/>
          <w:marBottom w:val="0"/>
          <w:divBdr>
            <w:top w:val="none" w:sz="0" w:space="0" w:color="auto"/>
            <w:left w:val="none" w:sz="0" w:space="0" w:color="auto"/>
            <w:bottom w:val="none" w:sz="0" w:space="0" w:color="auto"/>
            <w:right w:val="none" w:sz="0" w:space="0" w:color="auto"/>
          </w:divBdr>
        </w:div>
        <w:div w:id="1483814796">
          <w:marLeft w:val="0"/>
          <w:marRight w:val="0"/>
          <w:marTop w:val="0"/>
          <w:marBottom w:val="0"/>
          <w:divBdr>
            <w:top w:val="none" w:sz="0" w:space="0" w:color="auto"/>
            <w:left w:val="none" w:sz="0" w:space="0" w:color="auto"/>
            <w:bottom w:val="none" w:sz="0" w:space="0" w:color="auto"/>
            <w:right w:val="none" w:sz="0" w:space="0" w:color="auto"/>
          </w:divBdr>
        </w:div>
      </w:divsChild>
    </w:div>
    <w:div w:id="960647633">
      <w:bodyDiv w:val="1"/>
      <w:marLeft w:val="0"/>
      <w:marRight w:val="0"/>
      <w:marTop w:val="0"/>
      <w:marBottom w:val="0"/>
      <w:divBdr>
        <w:top w:val="none" w:sz="0" w:space="0" w:color="auto"/>
        <w:left w:val="none" w:sz="0" w:space="0" w:color="auto"/>
        <w:bottom w:val="none" w:sz="0" w:space="0" w:color="auto"/>
        <w:right w:val="none" w:sz="0" w:space="0" w:color="auto"/>
      </w:divBdr>
    </w:div>
    <w:div w:id="987130542">
      <w:bodyDiv w:val="1"/>
      <w:marLeft w:val="0"/>
      <w:marRight w:val="0"/>
      <w:marTop w:val="0"/>
      <w:marBottom w:val="0"/>
      <w:divBdr>
        <w:top w:val="none" w:sz="0" w:space="0" w:color="auto"/>
        <w:left w:val="none" w:sz="0" w:space="0" w:color="auto"/>
        <w:bottom w:val="none" w:sz="0" w:space="0" w:color="auto"/>
        <w:right w:val="none" w:sz="0" w:space="0" w:color="auto"/>
      </w:divBdr>
    </w:div>
    <w:div w:id="1066955176">
      <w:bodyDiv w:val="1"/>
      <w:marLeft w:val="0"/>
      <w:marRight w:val="0"/>
      <w:marTop w:val="0"/>
      <w:marBottom w:val="0"/>
      <w:divBdr>
        <w:top w:val="none" w:sz="0" w:space="0" w:color="auto"/>
        <w:left w:val="none" w:sz="0" w:space="0" w:color="auto"/>
        <w:bottom w:val="none" w:sz="0" w:space="0" w:color="auto"/>
        <w:right w:val="none" w:sz="0" w:space="0" w:color="auto"/>
      </w:divBdr>
    </w:div>
    <w:div w:id="1110903373">
      <w:bodyDiv w:val="1"/>
      <w:marLeft w:val="0"/>
      <w:marRight w:val="0"/>
      <w:marTop w:val="0"/>
      <w:marBottom w:val="0"/>
      <w:divBdr>
        <w:top w:val="none" w:sz="0" w:space="0" w:color="auto"/>
        <w:left w:val="none" w:sz="0" w:space="0" w:color="auto"/>
        <w:bottom w:val="none" w:sz="0" w:space="0" w:color="auto"/>
        <w:right w:val="none" w:sz="0" w:space="0" w:color="auto"/>
      </w:divBdr>
    </w:div>
    <w:div w:id="1185364345">
      <w:bodyDiv w:val="1"/>
      <w:marLeft w:val="0"/>
      <w:marRight w:val="0"/>
      <w:marTop w:val="0"/>
      <w:marBottom w:val="0"/>
      <w:divBdr>
        <w:top w:val="none" w:sz="0" w:space="0" w:color="auto"/>
        <w:left w:val="none" w:sz="0" w:space="0" w:color="auto"/>
        <w:bottom w:val="none" w:sz="0" w:space="0" w:color="auto"/>
        <w:right w:val="none" w:sz="0" w:space="0" w:color="auto"/>
      </w:divBdr>
    </w:div>
    <w:div w:id="1271203447">
      <w:bodyDiv w:val="1"/>
      <w:marLeft w:val="0"/>
      <w:marRight w:val="0"/>
      <w:marTop w:val="0"/>
      <w:marBottom w:val="0"/>
      <w:divBdr>
        <w:top w:val="none" w:sz="0" w:space="0" w:color="auto"/>
        <w:left w:val="none" w:sz="0" w:space="0" w:color="auto"/>
        <w:bottom w:val="none" w:sz="0" w:space="0" w:color="auto"/>
        <w:right w:val="none" w:sz="0" w:space="0" w:color="auto"/>
      </w:divBdr>
      <w:divsChild>
        <w:div w:id="151919146">
          <w:marLeft w:val="0"/>
          <w:marRight w:val="0"/>
          <w:marTop w:val="0"/>
          <w:marBottom w:val="0"/>
          <w:divBdr>
            <w:top w:val="none" w:sz="0" w:space="0" w:color="auto"/>
            <w:left w:val="none" w:sz="0" w:space="0" w:color="auto"/>
            <w:bottom w:val="none" w:sz="0" w:space="0" w:color="auto"/>
            <w:right w:val="none" w:sz="0" w:space="0" w:color="auto"/>
          </w:divBdr>
        </w:div>
        <w:div w:id="248777334">
          <w:marLeft w:val="0"/>
          <w:marRight w:val="0"/>
          <w:marTop w:val="0"/>
          <w:marBottom w:val="0"/>
          <w:divBdr>
            <w:top w:val="none" w:sz="0" w:space="0" w:color="auto"/>
            <w:left w:val="none" w:sz="0" w:space="0" w:color="auto"/>
            <w:bottom w:val="none" w:sz="0" w:space="0" w:color="auto"/>
            <w:right w:val="none" w:sz="0" w:space="0" w:color="auto"/>
          </w:divBdr>
        </w:div>
        <w:div w:id="777917007">
          <w:marLeft w:val="0"/>
          <w:marRight w:val="0"/>
          <w:marTop w:val="0"/>
          <w:marBottom w:val="0"/>
          <w:divBdr>
            <w:top w:val="none" w:sz="0" w:space="0" w:color="auto"/>
            <w:left w:val="none" w:sz="0" w:space="0" w:color="auto"/>
            <w:bottom w:val="none" w:sz="0" w:space="0" w:color="auto"/>
            <w:right w:val="none" w:sz="0" w:space="0" w:color="auto"/>
          </w:divBdr>
        </w:div>
        <w:div w:id="1111820268">
          <w:marLeft w:val="0"/>
          <w:marRight w:val="0"/>
          <w:marTop w:val="0"/>
          <w:marBottom w:val="0"/>
          <w:divBdr>
            <w:top w:val="none" w:sz="0" w:space="0" w:color="auto"/>
            <w:left w:val="none" w:sz="0" w:space="0" w:color="auto"/>
            <w:bottom w:val="none" w:sz="0" w:space="0" w:color="auto"/>
            <w:right w:val="none" w:sz="0" w:space="0" w:color="auto"/>
          </w:divBdr>
        </w:div>
        <w:div w:id="1555853725">
          <w:marLeft w:val="0"/>
          <w:marRight w:val="0"/>
          <w:marTop w:val="0"/>
          <w:marBottom w:val="0"/>
          <w:divBdr>
            <w:top w:val="none" w:sz="0" w:space="0" w:color="auto"/>
            <w:left w:val="none" w:sz="0" w:space="0" w:color="auto"/>
            <w:bottom w:val="none" w:sz="0" w:space="0" w:color="auto"/>
            <w:right w:val="none" w:sz="0" w:space="0" w:color="auto"/>
          </w:divBdr>
        </w:div>
        <w:div w:id="2023586337">
          <w:marLeft w:val="0"/>
          <w:marRight w:val="0"/>
          <w:marTop w:val="0"/>
          <w:marBottom w:val="0"/>
          <w:divBdr>
            <w:top w:val="none" w:sz="0" w:space="0" w:color="auto"/>
            <w:left w:val="none" w:sz="0" w:space="0" w:color="auto"/>
            <w:bottom w:val="none" w:sz="0" w:space="0" w:color="auto"/>
            <w:right w:val="none" w:sz="0" w:space="0" w:color="auto"/>
          </w:divBdr>
        </w:div>
      </w:divsChild>
    </w:div>
    <w:div w:id="1329138053">
      <w:bodyDiv w:val="1"/>
      <w:marLeft w:val="0"/>
      <w:marRight w:val="0"/>
      <w:marTop w:val="0"/>
      <w:marBottom w:val="0"/>
      <w:divBdr>
        <w:top w:val="none" w:sz="0" w:space="0" w:color="auto"/>
        <w:left w:val="none" w:sz="0" w:space="0" w:color="auto"/>
        <w:bottom w:val="none" w:sz="0" w:space="0" w:color="auto"/>
        <w:right w:val="none" w:sz="0" w:space="0" w:color="auto"/>
      </w:divBdr>
    </w:div>
    <w:div w:id="1349716932">
      <w:bodyDiv w:val="1"/>
      <w:marLeft w:val="0"/>
      <w:marRight w:val="0"/>
      <w:marTop w:val="0"/>
      <w:marBottom w:val="0"/>
      <w:divBdr>
        <w:top w:val="none" w:sz="0" w:space="0" w:color="auto"/>
        <w:left w:val="none" w:sz="0" w:space="0" w:color="auto"/>
        <w:bottom w:val="none" w:sz="0" w:space="0" w:color="auto"/>
        <w:right w:val="none" w:sz="0" w:space="0" w:color="auto"/>
      </w:divBdr>
    </w:div>
    <w:div w:id="1359698470">
      <w:bodyDiv w:val="1"/>
      <w:marLeft w:val="0"/>
      <w:marRight w:val="0"/>
      <w:marTop w:val="0"/>
      <w:marBottom w:val="0"/>
      <w:divBdr>
        <w:top w:val="none" w:sz="0" w:space="0" w:color="auto"/>
        <w:left w:val="none" w:sz="0" w:space="0" w:color="auto"/>
        <w:bottom w:val="none" w:sz="0" w:space="0" w:color="auto"/>
        <w:right w:val="none" w:sz="0" w:space="0" w:color="auto"/>
      </w:divBdr>
    </w:div>
    <w:div w:id="1375041719">
      <w:bodyDiv w:val="1"/>
      <w:marLeft w:val="0"/>
      <w:marRight w:val="0"/>
      <w:marTop w:val="0"/>
      <w:marBottom w:val="0"/>
      <w:divBdr>
        <w:top w:val="none" w:sz="0" w:space="0" w:color="auto"/>
        <w:left w:val="none" w:sz="0" w:space="0" w:color="auto"/>
        <w:bottom w:val="none" w:sz="0" w:space="0" w:color="auto"/>
        <w:right w:val="none" w:sz="0" w:space="0" w:color="auto"/>
      </w:divBdr>
    </w:div>
    <w:div w:id="1428229209">
      <w:bodyDiv w:val="1"/>
      <w:marLeft w:val="0"/>
      <w:marRight w:val="0"/>
      <w:marTop w:val="0"/>
      <w:marBottom w:val="0"/>
      <w:divBdr>
        <w:top w:val="none" w:sz="0" w:space="0" w:color="auto"/>
        <w:left w:val="none" w:sz="0" w:space="0" w:color="auto"/>
        <w:bottom w:val="none" w:sz="0" w:space="0" w:color="auto"/>
        <w:right w:val="none" w:sz="0" w:space="0" w:color="auto"/>
      </w:divBdr>
    </w:div>
    <w:div w:id="1490098253">
      <w:bodyDiv w:val="1"/>
      <w:marLeft w:val="0"/>
      <w:marRight w:val="0"/>
      <w:marTop w:val="0"/>
      <w:marBottom w:val="0"/>
      <w:divBdr>
        <w:top w:val="none" w:sz="0" w:space="0" w:color="auto"/>
        <w:left w:val="none" w:sz="0" w:space="0" w:color="auto"/>
        <w:bottom w:val="none" w:sz="0" w:space="0" w:color="auto"/>
        <w:right w:val="none" w:sz="0" w:space="0" w:color="auto"/>
      </w:divBdr>
    </w:div>
    <w:div w:id="1517571567">
      <w:bodyDiv w:val="1"/>
      <w:marLeft w:val="0"/>
      <w:marRight w:val="0"/>
      <w:marTop w:val="0"/>
      <w:marBottom w:val="0"/>
      <w:divBdr>
        <w:top w:val="none" w:sz="0" w:space="0" w:color="auto"/>
        <w:left w:val="none" w:sz="0" w:space="0" w:color="auto"/>
        <w:bottom w:val="none" w:sz="0" w:space="0" w:color="auto"/>
        <w:right w:val="none" w:sz="0" w:space="0" w:color="auto"/>
      </w:divBdr>
    </w:div>
    <w:div w:id="1711690291">
      <w:bodyDiv w:val="1"/>
      <w:marLeft w:val="0"/>
      <w:marRight w:val="0"/>
      <w:marTop w:val="0"/>
      <w:marBottom w:val="0"/>
      <w:divBdr>
        <w:top w:val="none" w:sz="0" w:space="0" w:color="auto"/>
        <w:left w:val="none" w:sz="0" w:space="0" w:color="auto"/>
        <w:bottom w:val="none" w:sz="0" w:space="0" w:color="auto"/>
        <w:right w:val="none" w:sz="0" w:space="0" w:color="auto"/>
      </w:divBdr>
    </w:div>
    <w:div w:id="1771855006">
      <w:bodyDiv w:val="1"/>
      <w:marLeft w:val="0"/>
      <w:marRight w:val="0"/>
      <w:marTop w:val="0"/>
      <w:marBottom w:val="0"/>
      <w:divBdr>
        <w:top w:val="none" w:sz="0" w:space="0" w:color="auto"/>
        <w:left w:val="none" w:sz="0" w:space="0" w:color="auto"/>
        <w:bottom w:val="none" w:sz="0" w:space="0" w:color="auto"/>
        <w:right w:val="none" w:sz="0" w:space="0" w:color="auto"/>
      </w:divBdr>
    </w:div>
    <w:div w:id="1894385302">
      <w:bodyDiv w:val="1"/>
      <w:marLeft w:val="0"/>
      <w:marRight w:val="0"/>
      <w:marTop w:val="0"/>
      <w:marBottom w:val="0"/>
      <w:divBdr>
        <w:top w:val="none" w:sz="0" w:space="0" w:color="auto"/>
        <w:left w:val="none" w:sz="0" w:space="0" w:color="auto"/>
        <w:bottom w:val="none" w:sz="0" w:space="0" w:color="auto"/>
        <w:right w:val="none" w:sz="0" w:space="0" w:color="auto"/>
      </w:divBdr>
    </w:div>
    <w:div w:id="1958369946">
      <w:bodyDiv w:val="1"/>
      <w:marLeft w:val="0"/>
      <w:marRight w:val="0"/>
      <w:marTop w:val="0"/>
      <w:marBottom w:val="0"/>
      <w:divBdr>
        <w:top w:val="none" w:sz="0" w:space="0" w:color="auto"/>
        <w:left w:val="none" w:sz="0" w:space="0" w:color="auto"/>
        <w:bottom w:val="none" w:sz="0" w:space="0" w:color="auto"/>
        <w:right w:val="none" w:sz="0" w:space="0" w:color="auto"/>
      </w:divBdr>
    </w:div>
    <w:div w:id="2055694809">
      <w:bodyDiv w:val="1"/>
      <w:marLeft w:val="0"/>
      <w:marRight w:val="0"/>
      <w:marTop w:val="0"/>
      <w:marBottom w:val="0"/>
      <w:divBdr>
        <w:top w:val="none" w:sz="0" w:space="0" w:color="auto"/>
        <w:left w:val="none" w:sz="0" w:space="0" w:color="auto"/>
        <w:bottom w:val="none" w:sz="0" w:space="0" w:color="auto"/>
        <w:right w:val="none" w:sz="0" w:space="0" w:color="auto"/>
      </w:divBdr>
    </w:div>
    <w:div w:id="2089378609">
      <w:bodyDiv w:val="1"/>
      <w:marLeft w:val="0"/>
      <w:marRight w:val="0"/>
      <w:marTop w:val="0"/>
      <w:marBottom w:val="0"/>
      <w:divBdr>
        <w:top w:val="none" w:sz="0" w:space="0" w:color="auto"/>
        <w:left w:val="none" w:sz="0" w:space="0" w:color="auto"/>
        <w:bottom w:val="none" w:sz="0" w:space="0" w:color="auto"/>
        <w:right w:val="none" w:sz="0" w:space="0" w:color="auto"/>
      </w:divBdr>
    </w:div>
    <w:div w:id="2120563975">
      <w:bodyDiv w:val="1"/>
      <w:marLeft w:val="0"/>
      <w:marRight w:val="0"/>
      <w:marTop w:val="0"/>
      <w:marBottom w:val="0"/>
      <w:divBdr>
        <w:top w:val="none" w:sz="0" w:space="0" w:color="auto"/>
        <w:left w:val="none" w:sz="0" w:space="0" w:color="auto"/>
        <w:bottom w:val="none" w:sz="0" w:space="0" w:color="auto"/>
        <w:right w:val="none" w:sz="0" w:space="0" w:color="auto"/>
      </w:divBdr>
    </w:div>
    <w:div w:id="21247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21/17/section/38/enacted" TargetMode="External"/><Relationship Id="rId21" Type="http://schemas.openxmlformats.org/officeDocument/2006/relationships/hyperlink" Target="https://www.legislation.gov.uk/ukpga/2021/17/section/35/enacted" TargetMode="External"/><Relationship Id="rId42" Type="http://schemas.openxmlformats.org/officeDocument/2006/relationships/hyperlink" Target="https://www.legislation.gov.uk/ukpga/2021/17/section/41/enacted" TargetMode="External"/><Relationship Id="rId47" Type="http://schemas.openxmlformats.org/officeDocument/2006/relationships/hyperlink" Target="https://www.legislation.gov.uk/ukpga/2021/17/section/43/enacted" TargetMode="External"/><Relationship Id="rId63" Type="http://schemas.openxmlformats.org/officeDocument/2006/relationships/hyperlink" Target="https://www.legislation.gov.uk/ukpga/2021/17/section/39/enacted" TargetMode="External"/><Relationship Id="rId68" Type="http://schemas.openxmlformats.org/officeDocument/2006/relationships/hyperlink" Target="https://www.legislation.gov.uk/ukpga/2021/17/section/38/enacted" TargetMode="External"/><Relationship Id="rId84" Type="http://schemas.openxmlformats.org/officeDocument/2006/relationships/hyperlink" Target="https://www.justice.gov.uk/courts/procedure-rules/family" TargetMode="External"/><Relationship Id="rId89" Type="http://schemas.openxmlformats.org/officeDocument/2006/relationships/hyperlink" Target="https://www.legislation.gov.uk/uksi/2024/254/contents/made" TargetMode="External"/><Relationship Id="rId16" Type="http://schemas.openxmlformats.org/officeDocument/2006/relationships/hyperlink" Target="https://www.legislation.gov.uk/ukpga/2021/17/section/32/enacted" TargetMode="External"/><Relationship Id="rId11" Type="http://schemas.openxmlformats.org/officeDocument/2006/relationships/image" Target="media/image1.png"/><Relationship Id="rId32" Type="http://schemas.openxmlformats.org/officeDocument/2006/relationships/hyperlink" Target="https://www.legislation.gov.uk/ukpga/2021/17/section/37/enacted" TargetMode="External"/><Relationship Id="rId37" Type="http://schemas.openxmlformats.org/officeDocument/2006/relationships/hyperlink" Target="https://www.legislation.gov.uk/ukpga/2021/17/section/41/enacted" TargetMode="External"/><Relationship Id="rId53" Type="http://schemas.openxmlformats.org/officeDocument/2006/relationships/hyperlink" Target="https://www.legislation.gov.uk/ukpga/2021/17/section/34/enacted" TargetMode="External"/><Relationship Id="rId58" Type="http://schemas.openxmlformats.org/officeDocument/2006/relationships/hyperlink" Target="https://www.legislation.gov.uk/ukpga/2021/17/section/39/enacted" TargetMode="External"/><Relationship Id="rId74" Type="http://schemas.openxmlformats.org/officeDocument/2006/relationships/hyperlink" Target="https://www.legislation.gov.uk/ukpga/2021/17/section/46/enacted" TargetMode="External"/><Relationship Id="rId79" Type="http://schemas.openxmlformats.org/officeDocument/2006/relationships/hyperlink" Target="https://www.legislation.gov.uk/ukpga/2021/17/section/33/enacted" TargetMode="External"/><Relationship Id="rId5" Type="http://schemas.openxmlformats.org/officeDocument/2006/relationships/numbering" Target="numbering.xml"/><Relationship Id="rId90" Type="http://schemas.openxmlformats.org/officeDocument/2006/relationships/hyperlink" Target="https://www.legislation.gov.uk/uksi/2024/259/contents/made" TargetMode="External"/><Relationship Id="rId95" Type="http://schemas.openxmlformats.org/officeDocument/2006/relationships/header" Target="header2.xml"/><Relationship Id="rId22" Type="http://schemas.openxmlformats.org/officeDocument/2006/relationships/hyperlink" Target="https://www.legislation.gov.uk/ukpga/2021/17/section/1/enacted" TargetMode="External"/><Relationship Id="rId27" Type="http://schemas.openxmlformats.org/officeDocument/2006/relationships/hyperlink" Target="https://www.legislation.gov.uk/ukpga/2021/17/section/38/enacted" TargetMode="External"/><Relationship Id="rId43" Type="http://schemas.openxmlformats.org/officeDocument/2006/relationships/hyperlink" Target="https://www.legislation.gov.uk/ukpga/2021/17/section/36/enacted" TargetMode="External"/><Relationship Id="rId48" Type="http://schemas.openxmlformats.org/officeDocument/2006/relationships/hyperlink" Target="https://www.legislation.gov.uk/ukpga/2021/17/section/44/enacted" TargetMode="External"/><Relationship Id="rId64" Type="http://schemas.openxmlformats.org/officeDocument/2006/relationships/hyperlink" Target="https://www.legislation.gov.uk/ukpga/2021/17/section/40/enacted" TargetMode="External"/><Relationship Id="rId69" Type="http://schemas.openxmlformats.org/officeDocument/2006/relationships/hyperlink" Target="https://www.legislation.gov.uk/ukpga/2021/17/section/46/enacted" TargetMode="External"/><Relationship Id="rId80" Type="http://schemas.openxmlformats.org/officeDocument/2006/relationships/hyperlink" Target="https://www.legislation.gov.uk/ukpga/2021/17/section/3/enacted" TargetMode="External"/><Relationship Id="rId85" Type="http://schemas.openxmlformats.org/officeDocument/2006/relationships/hyperlink" Target="https://www.gov.uk/guidance/apply-for-a-domestic-abuse-protection-order-in-a-family-court" TargetMode="External"/><Relationship Id="rId12" Type="http://schemas.openxmlformats.org/officeDocument/2006/relationships/hyperlink" Target="https://www.legislation.gov.uk/ukpga/2021/17/section/28/enacted" TargetMode="External"/><Relationship Id="rId17" Type="http://schemas.openxmlformats.org/officeDocument/2006/relationships/hyperlink" Target="https://www.legislation.gov.uk/ukpga/2021/17/section/32/enacted" TargetMode="External"/><Relationship Id="rId25" Type="http://schemas.openxmlformats.org/officeDocument/2006/relationships/hyperlink" Target="https://www.legislation.gov.uk/ukpga/2021/17/section/38/enacted" TargetMode="External"/><Relationship Id="rId33" Type="http://schemas.openxmlformats.org/officeDocument/2006/relationships/hyperlink" Target="https://www.legislation.gov.uk/ukpga/2021/17/section/38/enacted" TargetMode="External"/><Relationship Id="rId38" Type="http://schemas.openxmlformats.org/officeDocument/2006/relationships/hyperlink" Target="https://www.legislation.gov.uk/ukpga/2021/17/section/42/enacted" TargetMode="External"/><Relationship Id="rId46" Type="http://schemas.openxmlformats.org/officeDocument/2006/relationships/hyperlink" Target="https://www.legislation.gov.uk/ukpga/2021/17/section/43/enacted" TargetMode="External"/><Relationship Id="rId59" Type="http://schemas.openxmlformats.org/officeDocument/2006/relationships/hyperlink" Target="https://www.legislation.gov.uk/ukpga/2021/17/section/45/enacted" TargetMode="External"/><Relationship Id="rId67" Type="http://schemas.openxmlformats.org/officeDocument/2006/relationships/hyperlink" Target="https://www.legislation.gov.uk/ukpga/2021/17/part/3/enacted" TargetMode="External"/><Relationship Id="rId20" Type="http://schemas.openxmlformats.org/officeDocument/2006/relationships/hyperlink" Target="https://www.legislation.gov.uk/ukpga/2021/17/section/29/enacted" TargetMode="External"/><Relationship Id="rId41" Type="http://schemas.openxmlformats.org/officeDocument/2006/relationships/hyperlink" Target="https://www.legislation.gov.uk/ukpga/2019/9/section/9/enacted" TargetMode="External"/><Relationship Id="rId54" Type="http://schemas.openxmlformats.org/officeDocument/2006/relationships/hyperlink" Target="https://www.legislation.gov.uk/ukpga/2021/17/section/39/enacted" TargetMode="External"/><Relationship Id="rId62" Type="http://schemas.openxmlformats.org/officeDocument/2006/relationships/hyperlink" Target="https://www.legislation.gov.uk/ukpga/2021/17/section/39/enacted" TargetMode="External"/><Relationship Id="rId70" Type="http://schemas.openxmlformats.org/officeDocument/2006/relationships/hyperlink" Target="https://www.legislation.gov.uk/ukpga/2021/17/section/47/enacted" TargetMode="External"/><Relationship Id="rId75" Type="http://schemas.openxmlformats.org/officeDocument/2006/relationships/hyperlink" Target="https://www.legislation.gov.uk/ukpga/2021/17/section/46/enacted" TargetMode="External"/><Relationship Id="rId83" Type="http://schemas.openxmlformats.org/officeDocument/2006/relationships/hyperlink" Target="https://www.legislation.gov.uk/ukpga/2021/17/section/28/enacted" TargetMode="External"/><Relationship Id="rId88" Type="http://schemas.openxmlformats.org/officeDocument/2006/relationships/hyperlink" Target="https://www.gov.uk/guidance/apply-for-a-domestic-abuse-protection-order-in-a-county-court" TargetMode="External"/><Relationship Id="rId91" Type="http://schemas.openxmlformats.org/officeDocument/2006/relationships/hyperlink" Target="https://www.legislation.gov.uk/uksi/2022/815/contents/made"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2021/17/section/1/enacted" TargetMode="External"/><Relationship Id="rId23" Type="http://schemas.openxmlformats.org/officeDocument/2006/relationships/hyperlink" Target="https://www.legislation.gov.uk/ukpga/2021/17/section/35/enacted" TargetMode="External"/><Relationship Id="rId28" Type="http://schemas.openxmlformats.org/officeDocument/2006/relationships/hyperlink" Target="https://www.legislation.gov.uk/ukpga/2021/17/section/35/enacted" TargetMode="External"/><Relationship Id="rId36" Type="http://schemas.openxmlformats.org/officeDocument/2006/relationships/hyperlink" Target="https://www.legislation.gov.uk/ukpga/2021/17/section/39/enacted" TargetMode="External"/><Relationship Id="rId49" Type="http://schemas.openxmlformats.org/officeDocument/2006/relationships/hyperlink" Target="https://www.legislation.gov.uk/ukpga/2021/17/section/35/enacted" TargetMode="External"/><Relationship Id="rId57" Type="http://schemas.openxmlformats.org/officeDocument/2006/relationships/hyperlink" Target="https://www.legislation.gov.uk/ukpga/2021/17/section/37/enacted" TargetMode="External"/><Relationship Id="rId10" Type="http://schemas.openxmlformats.org/officeDocument/2006/relationships/endnotes" Target="endnotes.xml"/><Relationship Id="rId31" Type="http://schemas.openxmlformats.org/officeDocument/2006/relationships/hyperlink" Target="https://www.legislation.gov.uk/ukpga/2021/17/section/37/enacted" TargetMode="External"/><Relationship Id="rId44" Type="http://schemas.openxmlformats.org/officeDocument/2006/relationships/hyperlink" Target="https://www.legislation.gov.uk/ukpga/2021/17/section/36/enacted" TargetMode="External"/><Relationship Id="rId52" Type="http://schemas.openxmlformats.org/officeDocument/2006/relationships/hyperlink" Target="https://www.legislation.gov.uk/ukpga/2021/17/section/44/enacted" TargetMode="External"/><Relationship Id="rId60" Type="http://schemas.openxmlformats.org/officeDocument/2006/relationships/hyperlink" Target="https://www.legislation.gov.uk/ukpga/2021/17/section/41/enacted" TargetMode="External"/><Relationship Id="rId65" Type="http://schemas.openxmlformats.org/officeDocument/2006/relationships/hyperlink" Target="https://www.legislation.gov.uk/ukpga/2021/17/section/39/enacted" TargetMode="External"/><Relationship Id="rId73" Type="http://schemas.openxmlformats.org/officeDocument/2006/relationships/hyperlink" Target="https://www.legislation.gov.uk/ukpga/2021/17/section/44/enacted" TargetMode="External"/><Relationship Id="rId78" Type="http://schemas.openxmlformats.org/officeDocument/2006/relationships/hyperlink" Target="https://www.legislation.gov.uk/ukpga/2021/17/section/32/enacted" TargetMode="External"/><Relationship Id="rId81" Type="http://schemas.openxmlformats.org/officeDocument/2006/relationships/hyperlink" Target="https://www.legislation.gov.uk/ukpga/2021/17/section/52/enacted" TargetMode="External"/><Relationship Id="rId86" Type="http://schemas.openxmlformats.org/officeDocument/2006/relationships/hyperlink" Target="https://www.legislation.gov.uk/uksi/2024/253/contents/made"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21/17/section/28/enacted" TargetMode="External"/><Relationship Id="rId18" Type="http://schemas.openxmlformats.org/officeDocument/2006/relationships/hyperlink" Target="https://www.legislation.gov.uk/ukpga/2021/17/section/34/enacted" TargetMode="External"/><Relationship Id="rId39" Type="http://schemas.openxmlformats.org/officeDocument/2006/relationships/hyperlink" Target="https://www.legislation.gov.uk/ukpga/2021/17/section/41/enacted" TargetMode="External"/><Relationship Id="rId34" Type="http://schemas.openxmlformats.org/officeDocument/2006/relationships/hyperlink" Target="https://www.legislation.gov.uk/ukpga/2021/17/section/37/enacted" TargetMode="External"/><Relationship Id="rId50" Type="http://schemas.openxmlformats.org/officeDocument/2006/relationships/hyperlink" Target="https://www.legislation.gov.uk/ukpga/2021/17/section/44/enacted" TargetMode="External"/><Relationship Id="rId55" Type="http://schemas.openxmlformats.org/officeDocument/2006/relationships/hyperlink" Target="https://www.legislation.gov.uk/ukpga/2021/17/section/43/enacted" TargetMode="External"/><Relationship Id="rId76" Type="http://schemas.openxmlformats.org/officeDocument/2006/relationships/hyperlink" Target="https://www.legislation.gov.uk/ukpga/2021/17/section/47/enacted"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legislation.gov.uk/ukpga/2021/17/section/28/enacted" TargetMode="External"/><Relationship Id="rId92"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https://www.legislation.gov.uk/ukpga/2021/17/section/35/enacted" TargetMode="External"/><Relationship Id="rId24" Type="http://schemas.openxmlformats.org/officeDocument/2006/relationships/hyperlink" Target="https://www.legislation.gov.uk/ukpga/2021/17/section/36/enacted" TargetMode="External"/><Relationship Id="rId40" Type="http://schemas.openxmlformats.org/officeDocument/2006/relationships/hyperlink" Target="https://www.legislation.gov.uk/ukpga/2003/42/part/2" TargetMode="External"/><Relationship Id="rId45" Type="http://schemas.openxmlformats.org/officeDocument/2006/relationships/hyperlink" Target="https://www.legislation.gov.uk/ukpga/2021/17/section/43/enacted" TargetMode="External"/><Relationship Id="rId66" Type="http://schemas.openxmlformats.org/officeDocument/2006/relationships/hyperlink" Target="https://www.legislation.gov.uk/ukpga/2021/17/section/39/enacted" TargetMode="External"/><Relationship Id="rId87" Type="http://schemas.openxmlformats.org/officeDocument/2006/relationships/hyperlink" Target="https://www.justice.gov.uk/courts/procedure-rules/civil" TargetMode="External"/><Relationship Id="rId61" Type="http://schemas.openxmlformats.org/officeDocument/2006/relationships/hyperlink" Target="https://www.legislation.gov.uk/ukpga/2021/17/section/43/enacted" TargetMode="External"/><Relationship Id="rId82" Type="http://schemas.openxmlformats.org/officeDocument/2006/relationships/hyperlink" Target="https://www.legislation.gov.uk/ukpga/2021/17/section/31/enacted" TargetMode="External"/><Relationship Id="rId19" Type="http://schemas.openxmlformats.org/officeDocument/2006/relationships/hyperlink" Target="https://www.legislation.gov.uk/ukpga/2021/17/section/34/enacted" TargetMode="External"/><Relationship Id="rId14" Type="http://schemas.openxmlformats.org/officeDocument/2006/relationships/hyperlink" Target="https://www.gov.uk/government/publications/domestic-abuse-protection-orders-and-protection-notices/domestic-abuse-protection-orders-and-domestic-abuse-protection-notices-statutory-guidance-for-the-police-accessible" TargetMode="External"/><Relationship Id="rId30" Type="http://schemas.openxmlformats.org/officeDocument/2006/relationships/hyperlink" Target="https://www.legislation.gov.uk/ukpga/2021/17/section/36/enacted" TargetMode="External"/><Relationship Id="rId35" Type="http://schemas.openxmlformats.org/officeDocument/2006/relationships/hyperlink" Target="https://www.legislation.gov.uk/ukpga/2021/17/section/37/enacted" TargetMode="External"/><Relationship Id="rId56" Type="http://schemas.openxmlformats.org/officeDocument/2006/relationships/hyperlink" Target="https://www.legislation.gov.uk/ukpga/2021/17/section/36/enacted" TargetMode="External"/><Relationship Id="rId77" Type="http://schemas.openxmlformats.org/officeDocument/2006/relationships/hyperlink" Target="https://www.legislation.gov.uk/ukpga/2021/17/section/47/enacted"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21/17/section/45/enacted" TargetMode="External"/><Relationship Id="rId72" Type="http://schemas.openxmlformats.org/officeDocument/2006/relationships/hyperlink" Target="https://www.legislation.gov.uk/ukpga/2021/17/section/31/enacted" TargetMode="External"/><Relationship Id="rId93" Type="http://schemas.openxmlformats.org/officeDocument/2006/relationships/hyperlink" Target="mailto:dapopilot@justice.gov.uk" TargetMode="External"/><Relationship Id="rId98" Type="http://schemas.openxmlformats.org/officeDocument/2006/relationships/header" Target="header3.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21/17/section/31/enacted" TargetMode="External"/><Relationship Id="rId3" Type="http://schemas.openxmlformats.org/officeDocument/2006/relationships/hyperlink" Target="https://www.gov.uk/government/news/dapn-and-dapo-contract-changes" TargetMode="External"/><Relationship Id="rId7" Type="http://schemas.openxmlformats.org/officeDocument/2006/relationships/hyperlink" Target="https://www.legislation.gov.uk/uksi/2024/340/made" TargetMode="External"/><Relationship Id="rId2" Type="http://schemas.openxmlformats.org/officeDocument/2006/relationships/hyperlink" Target="https://www.legislation.gov.uk/uksi/2024/253/contents/made" TargetMode="External"/><Relationship Id="rId1" Type="http://schemas.openxmlformats.org/officeDocument/2006/relationships/hyperlink" Target="https://www.legislation.gov.uk/ukpga/2021/17/contents/enacted" TargetMode="External"/><Relationship Id="rId6" Type="http://schemas.openxmlformats.org/officeDocument/2006/relationships/hyperlink" Target="https://www.legislation.gov.uk/ukpga/2021/17/section/2/enacted" TargetMode="External"/><Relationship Id="rId5" Type="http://schemas.openxmlformats.org/officeDocument/2006/relationships/hyperlink" Target="https://www.gov.uk/government/publications/standard-crime-contract-2022" TargetMode="External"/><Relationship Id="rId4" Type="http://schemas.openxmlformats.org/officeDocument/2006/relationships/hyperlink" Target="https://assets.publishing.service.gov.uk/media/670e92c830536cb9274831d5/Draft_DAPO_Pilot_Scheme_Specification__Section_19_.pdf" TargetMode="External"/><Relationship Id="rId9" Type="http://schemas.openxmlformats.org/officeDocument/2006/relationships/hyperlink" Target="https://www.legislation.gov.uk/ukpga/2021/17/section/46/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009a858-ab03-4c57-81a6-49849bf6de73" xsi:nil="true"/>
    <SharedWithUsers xmlns="7009a858-ab03-4c57-81a6-49849bf6de73">
      <UserInfo>
        <DisplayName>Service Administrators Members</DisplayName>
        <AccountId>12</AccountId>
        <AccountType/>
      </UserInfo>
      <UserInfo>
        <DisplayName>eDiscovery Case Workers Members</DisplayName>
        <AccountId>13</AccountId>
        <AccountType/>
      </UserInfo>
      <UserInfo>
        <DisplayName>Interpersonal Violence Unit Business Administration Approvers</DisplayName>
        <AccountId>15</AccountId>
        <AccountType/>
      </UserInfo>
      <UserInfo>
        <DisplayName>Hayden Smith</DisplayName>
        <AccountId>63</AccountId>
        <AccountType/>
      </UserInfo>
      <UserInfo>
        <DisplayName>Scott Lindsay</DisplayName>
        <AccountId>165</AccountId>
        <AccountType/>
      </UserInfo>
      <UserInfo>
        <DisplayName>Edward Bearryman</DisplayName>
        <AccountId>142</AccountId>
        <AccountType/>
      </UserInfo>
      <UserInfo>
        <DisplayName>Rosie McInally-Gibbs</DisplayName>
        <AccountId>1137</AccountId>
        <AccountType/>
      </UserInfo>
      <UserInfo>
        <DisplayName>Danai Pagoni</DisplayName>
        <AccountId>840</AccountId>
        <AccountType/>
      </UserInfo>
      <UserInfo>
        <DisplayName>Nichola Johnson</DisplayName>
        <AccountId>6961</AccountId>
        <AccountType/>
      </UserInfo>
      <UserInfo>
        <DisplayName>Georgia Smyth</DisplayName>
        <AccountId>1999</AccountId>
        <AccountType/>
      </UserInfo>
    </SharedWithUsers>
    <lcf76f155ced4ddcb4097134ff3c332f xmlns="3d9b42b0-6ae3-4213-9dd4-1b4af24f2d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2DA7687CBBF4597218A11C2FF2F8E" ma:contentTypeVersion="14" ma:contentTypeDescription="Create a new document." ma:contentTypeScope="" ma:versionID="b1ee438d32a541aaf66c70b94af5d13c">
  <xsd:schema xmlns:xsd="http://www.w3.org/2001/XMLSchema" xmlns:xs="http://www.w3.org/2001/XMLSchema" xmlns:p="http://schemas.microsoft.com/office/2006/metadata/properties" xmlns:ns2="3d9b42b0-6ae3-4213-9dd4-1b4af24f2d19" xmlns:ns3="7009a858-ab03-4c57-81a6-49849bf6de73" targetNamespace="http://schemas.microsoft.com/office/2006/metadata/properties" ma:root="true" ma:fieldsID="6ab8808d60536fdc0b3d42cf60680630" ns2:_="" ns3:_="">
    <xsd:import namespace="3d9b42b0-6ae3-4213-9dd4-1b4af24f2d19"/>
    <xsd:import namespace="7009a858-ab03-4c57-81a6-49849bf6de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42b0-6ae3-4213-9dd4-1b4af24f2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9a858-ab03-4c57-81a6-49849bf6de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d65880-88bc-498b-83bf-e7b1e3140a24}" ma:internalName="TaxCatchAll" ma:showField="CatchAllData" ma:web="7009a858-ab03-4c57-81a6-49849bf6d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0C310-3970-4D9D-AAB3-801F782FC0C3}">
  <ds:schemaRefs>
    <ds:schemaRef ds:uri="http://schemas.openxmlformats.org/officeDocument/2006/bibliography"/>
  </ds:schemaRefs>
</ds:datastoreItem>
</file>

<file path=customXml/itemProps2.xml><?xml version="1.0" encoding="utf-8"?>
<ds:datastoreItem xmlns:ds="http://schemas.openxmlformats.org/officeDocument/2006/customXml" ds:itemID="{E5B44718-3AD8-406F-A41F-CC0C5590DBB1}">
  <ds:schemaRefs>
    <ds:schemaRef ds:uri="http://schemas.microsoft.com/office/2006/metadata/properties"/>
    <ds:schemaRef ds:uri="http://schemas.microsoft.com/office/infopath/2007/PartnerControls"/>
    <ds:schemaRef ds:uri="7009a858-ab03-4c57-81a6-49849bf6de73"/>
    <ds:schemaRef ds:uri="3d9b42b0-6ae3-4213-9dd4-1b4af24f2d19"/>
  </ds:schemaRefs>
</ds:datastoreItem>
</file>

<file path=customXml/itemProps3.xml><?xml version="1.0" encoding="utf-8"?>
<ds:datastoreItem xmlns:ds="http://schemas.openxmlformats.org/officeDocument/2006/customXml" ds:itemID="{5F1850AA-DA53-41A3-B9F4-306057D4C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42b0-6ae3-4213-9dd4-1b4af24f2d19"/>
    <ds:schemaRef ds:uri="7009a858-ab03-4c57-81a6-49849bf6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A2311-6947-4298-85F6-056A1E03D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10008</Words>
  <Characters>57048</Characters>
  <Application>Microsoft Office Word</Application>
  <DocSecurity>0</DocSecurity>
  <Lines>475</Lines>
  <Paragraphs>133</Paragraphs>
  <ScaleCrop>false</ScaleCrop>
  <Company/>
  <LinksUpToDate>false</LinksUpToDate>
  <CharactersWithSpaces>66923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Domestic Abuse Protection Notices and Domestic Abuse Protection Orders (DAPNs and DAPOs)</dc:subject>
  <dc:creator>VERSION: APRIL 2025</dc:creator>
  <cp:keywords/>
  <dc:description/>
  <cp:lastModifiedBy>Smith, Chris (Judicial Office)</cp:lastModifiedBy>
  <cp:revision>480</cp:revision>
  <cp:lastPrinted>2023-10-28T07:47:00Z</cp:lastPrinted>
  <dcterms:created xsi:type="dcterms:W3CDTF">2024-03-24T04:11:00Z</dcterms:created>
  <dcterms:modified xsi:type="dcterms:W3CDTF">2025-04-28T10:27:00Z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0x010100CEB2DA7687CBBF4597218A11C2FF2F8E</vt:lpwstr>
  </property>
  <property fmtid="{D5CDD505-2E9C-101B-9397-08002B2CF9AE}" pid="3" name="HOCopyrightLevel">
    <vt:lpwstr>2;#Crown|69589897-2828-4761-976e-717fd8e631c9</vt:lpwstr>
  </property>
  <property fmtid="{D5CDD505-2E9C-101B-9397-08002B2CF9AE}" pid="4" name="HOGovernmentSecurityClassification">
    <vt:lpwstr>1;#Official|14c80daa-741b-422c-9722-f71693c9ede4</vt:lpwstr>
  </property>
  <property fmtid="{D5CDD505-2E9C-101B-9397-08002B2CF9AE}" pid="5" name="HOSiteType">
    <vt:lpwstr>4;#Business Administration|5cf5151c-6415-40e6-83ef-762094d505d0</vt:lpwstr>
  </property>
  <property fmtid="{D5CDD505-2E9C-101B-9397-08002B2CF9AE}" pid="6" name="HOBusinessUnit">
    <vt:lpwstr>3;#Interpersonal Violence Unit (IVU)|33a938f9-2a31-47bd-bad6-2726b68f7537</vt:lpwstr>
  </property>
  <property fmtid="{D5CDD505-2E9C-101B-9397-08002B2CF9AE}" pid="7" name="MediaServiceImageTags">
    <vt:lpwstr/>
  </property>
  <property fmtid="{D5CDD505-2E9C-101B-9397-08002B2CF9AE}" pid="8" name="ClassificationContentMarkingHeaderShapeIds">
    <vt:lpwstr>1,3,5,6,7,8</vt:lpwstr>
  </property>
  <property fmtid="{D5CDD505-2E9C-101B-9397-08002B2CF9AE}" pid="9" name="ClassificationContentMarkingHeaderFontProps">
    <vt:lpwstr>#000000,12,Calibri</vt:lpwstr>
  </property>
  <property fmtid="{D5CDD505-2E9C-101B-9397-08002B2CF9AE}" pid="10" name="ClassificationContentMarkingHeaderText">
    <vt:lpwstr>OFFICIAL</vt:lpwstr>
  </property>
  <property fmtid="{D5CDD505-2E9C-101B-9397-08002B2CF9AE}" pid="11" name="ClassificationContentMarkingFooterShapeIds">
    <vt:lpwstr>9,a,b,c,d,e</vt:lpwstr>
  </property>
  <property fmtid="{D5CDD505-2E9C-101B-9397-08002B2CF9AE}" pid="12" name="ClassificationContentMarkingFooterFontProps">
    <vt:lpwstr>#000000,12,Calibri</vt:lpwstr>
  </property>
  <property fmtid="{D5CDD505-2E9C-101B-9397-08002B2CF9AE}" pid="13" name="ClassificationContentMarkingFooterText">
    <vt:lpwstr>OFFICIAL</vt:lpwstr>
  </property>
  <property fmtid="{D5CDD505-2E9C-101B-9397-08002B2CF9AE}" pid="14" name="MSIP_Label_eed1d2f5-2977-4ce1-839d-57a403841e1f_Enabled">
    <vt:lpwstr>true</vt:lpwstr>
  </property>
  <property fmtid="{D5CDD505-2E9C-101B-9397-08002B2CF9AE}" pid="15" name="MSIP_Label_eed1d2f5-2977-4ce1-839d-57a403841e1f_SetDate">
    <vt:lpwstr>2024-03-14T09:14:01Z</vt:lpwstr>
  </property>
  <property fmtid="{D5CDD505-2E9C-101B-9397-08002B2CF9AE}" pid="16" name="MSIP_Label_eed1d2f5-2977-4ce1-839d-57a403841e1f_Method">
    <vt:lpwstr>Standard</vt:lpwstr>
  </property>
  <property fmtid="{D5CDD505-2E9C-101B-9397-08002B2CF9AE}" pid="17" name="MSIP_Label_eed1d2f5-2977-4ce1-839d-57a403841e1f_Name">
    <vt:lpwstr>OFFICIAL</vt:lpwstr>
  </property>
  <property fmtid="{D5CDD505-2E9C-101B-9397-08002B2CF9AE}" pid="18" name="MSIP_Label_eed1d2f5-2977-4ce1-839d-57a403841e1f_SiteId">
    <vt:lpwstr>c6874728-71e6-41fe-a9e1-2e8c36776ad8</vt:lpwstr>
  </property>
  <property fmtid="{D5CDD505-2E9C-101B-9397-08002B2CF9AE}" pid="19" name="MSIP_Label_eed1d2f5-2977-4ce1-839d-57a403841e1f_ActionId">
    <vt:lpwstr>1346b60f-0307-405a-8be3-386c3c074e52</vt:lpwstr>
  </property>
  <property fmtid="{D5CDD505-2E9C-101B-9397-08002B2CF9AE}" pid="20" name="MSIP_Label_eed1d2f5-2977-4ce1-839d-57a403841e1f_ContentBits">
    <vt:lpwstr>3</vt:lpwstr>
  </property>
</Properties>
</file>