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B891" w14:textId="77777777" w:rsidR="00056557" w:rsidRDefault="00056557" w:rsidP="005C0C52"/>
    <w:p w14:paraId="376F5E5B" w14:textId="77777777" w:rsidR="00C73230" w:rsidRDefault="00C927C5" w:rsidP="00056557">
      <w:pPr>
        <w:jc w:val="center"/>
        <w:rPr>
          <w:b/>
        </w:rPr>
      </w:pPr>
      <w:r>
        <w:rPr>
          <w:b/>
        </w:rPr>
        <w:t xml:space="preserve">R. </w:t>
      </w:r>
    </w:p>
    <w:p w14:paraId="46838E11" w14:textId="77777777" w:rsidR="00C73230" w:rsidRDefault="00C927C5" w:rsidP="00056557">
      <w:pPr>
        <w:jc w:val="center"/>
        <w:rPr>
          <w:b/>
        </w:rPr>
      </w:pPr>
      <w:r>
        <w:rPr>
          <w:b/>
        </w:rPr>
        <w:t xml:space="preserve">v </w:t>
      </w:r>
    </w:p>
    <w:p w14:paraId="6BBA6420" w14:textId="4D599194" w:rsidR="00F61DD7" w:rsidRDefault="00D214BF" w:rsidP="00056557">
      <w:pPr>
        <w:jc w:val="center"/>
        <w:rPr>
          <w:b/>
        </w:rPr>
      </w:pPr>
      <w:r>
        <w:rPr>
          <w:b/>
        </w:rPr>
        <w:t>JHE</w:t>
      </w:r>
    </w:p>
    <w:p w14:paraId="61BD4650" w14:textId="3D820F75" w:rsidR="00E06BED" w:rsidRDefault="00E06BED" w:rsidP="00056557">
      <w:pPr>
        <w:jc w:val="center"/>
        <w:rPr>
          <w:b/>
        </w:rPr>
      </w:pPr>
      <w:r>
        <w:rPr>
          <w:b/>
        </w:rPr>
        <w:t>AXD</w:t>
      </w:r>
    </w:p>
    <w:p w14:paraId="34E868BD" w14:textId="77777777" w:rsidR="00D214BF" w:rsidRDefault="00D214BF" w:rsidP="00056557">
      <w:pPr>
        <w:jc w:val="center"/>
        <w:rPr>
          <w:b/>
        </w:rPr>
      </w:pPr>
    </w:p>
    <w:p w14:paraId="299643DB" w14:textId="77777777" w:rsidR="00056557" w:rsidRDefault="005E6CE2" w:rsidP="00056557">
      <w:pPr>
        <w:jc w:val="center"/>
        <w:rPr>
          <w:b/>
        </w:rPr>
      </w:pPr>
      <w:r>
        <w:rPr>
          <w:b/>
        </w:rPr>
        <w:t>Warwick Crown Court</w:t>
      </w:r>
    </w:p>
    <w:p w14:paraId="6A93F493" w14:textId="23A793F3" w:rsidR="00D479A1" w:rsidRDefault="00D479A1" w:rsidP="00056557">
      <w:pPr>
        <w:jc w:val="center"/>
        <w:rPr>
          <w:b/>
        </w:rPr>
      </w:pPr>
      <w:r>
        <w:rPr>
          <w:b/>
        </w:rPr>
        <w:t>23</w:t>
      </w:r>
      <w:r w:rsidR="00774FE6">
        <w:rPr>
          <w:b/>
        </w:rPr>
        <w:t>S51088125</w:t>
      </w:r>
    </w:p>
    <w:p w14:paraId="04B601BA" w14:textId="77777777" w:rsidR="00056557" w:rsidRDefault="00056557" w:rsidP="00056557">
      <w:pPr>
        <w:spacing w:before="240"/>
        <w:jc w:val="center"/>
        <w:rPr>
          <w:b/>
        </w:rPr>
      </w:pPr>
      <w:r>
        <w:rPr>
          <w:b/>
        </w:rPr>
        <w:t>_______________________</w:t>
      </w:r>
    </w:p>
    <w:p w14:paraId="556CF5E4" w14:textId="77777777" w:rsidR="005E6CE2" w:rsidRDefault="005E6CE2" w:rsidP="00056557">
      <w:pPr>
        <w:jc w:val="center"/>
        <w:rPr>
          <w:b/>
        </w:rPr>
      </w:pPr>
    </w:p>
    <w:p w14:paraId="502203F1" w14:textId="3F5467E5" w:rsidR="007B4F6D" w:rsidRDefault="00163AAE" w:rsidP="00056557">
      <w:pPr>
        <w:jc w:val="center"/>
        <w:rPr>
          <w:b/>
        </w:rPr>
      </w:pPr>
      <w:r>
        <w:rPr>
          <w:b/>
        </w:rPr>
        <w:t>RULING</w:t>
      </w:r>
    </w:p>
    <w:p w14:paraId="43FE25C4" w14:textId="77777777" w:rsidR="00056557" w:rsidRDefault="00056557" w:rsidP="00056557">
      <w:pPr>
        <w:jc w:val="center"/>
      </w:pPr>
      <w:r>
        <w:rPr>
          <w:b/>
        </w:rPr>
        <w:t>_______________________</w:t>
      </w:r>
    </w:p>
    <w:p w14:paraId="07FBBBA7" w14:textId="77777777" w:rsidR="00056557" w:rsidRDefault="00056557" w:rsidP="00056557">
      <w:pPr>
        <w:jc w:val="center"/>
      </w:pPr>
    </w:p>
    <w:p w14:paraId="5F5ABB46" w14:textId="597C10F6" w:rsidR="00056557" w:rsidRDefault="00F61DD7" w:rsidP="00056557">
      <w:pPr>
        <w:jc w:val="center"/>
      </w:pPr>
      <w:r>
        <w:t xml:space="preserve">Mr WILLIAMS </w:t>
      </w:r>
      <w:r w:rsidR="00056557">
        <w:t>for the prosecution</w:t>
      </w:r>
    </w:p>
    <w:p w14:paraId="1C38917A" w14:textId="6E63F9BC" w:rsidR="006F31ED" w:rsidRDefault="00873D04" w:rsidP="005043C8">
      <w:pPr>
        <w:jc w:val="center"/>
      </w:pPr>
      <w:r>
        <w:t>Mr HOLT</w:t>
      </w:r>
      <w:r w:rsidR="006F31ED">
        <w:t xml:space="preserve"> for </w:t>
      </w:r>
      <w:r w:rsidR="00647389">
        <w:t>JHE</w:t>
      </w:r>
    </w:p>
    <w:p w14:paraId="7AF7B837" w14:textId="7D15C73F" w:rsidR="003606AF" w:rsidRDefault="003606AF" w:rsidP="003606AF">
      <w:pPr>
        <w:jc w:val="center"/>
      </w:pPr>
      <w:r>
        <w:t xml:space="preserve">Mr </w:t>
      </w:r>
      <w:r w:rsidR="00873D04">
        <w:t xml:space="preserve">RADCLIFFE </w:t>
      </w:r>
      <w:r>
        <w:t xml:space="preserve">for </w:t>
      </w:r>
      <w:r w:rsidR="00647389">
        <w:t>AXD</w:t>
      </w:r>
    </w:p>
    <w:p w14:paraId="20AD2626" w14:textId="77777777" w:rsidR="00873D04" w:rsidRDefault="00873D04" w:rsidP="003606AF">
      <w:pPr>
        <w:jc w:val="center"/>
      </w:pPr>
    </w:p>
    <w:p w14:paraId="067DD883" w14:textId="4CC3D051" w:rsidR="00873D04" w:rsidRDefault="00873D04" w:rsidP="003606AF">
      <w:pPr>
        <w:jc w:val="center"/>
      </w:pPr>
      <w:r>
        <w:t>Mr ROWE for Associated Newspapers Ltd</w:t>
      </w:r>
    </w:p>
    <w:p w14:paraId="4D0EC577" w14:textId="77777777" w:rsidR="005043C8" w:rsidRDefault="005043C8" w:rsidP="005043C8">
      <w:pPr>
        <w:jc w:val="center"/>
      </w:pPr>
    </w:p>
    <w:p w14:paraId="4ED514D2" w14:textId="35AD9593" w:rsidR="00B1648A" w:rsidRPr="005015C7" w:rsidRDefault="00B1648A" w:rsidP="00713C95">
      <w:pPr>
        <w:pStyle w:val="Heading1"/>
        <w:numPr>
          <w:ilvl w:val="0"/>
          <w:numId w:val="1"/>
        </w:numPr>
        <w:rPr>
          <w:color w:val="auto"/>
        </w:rPr>
      </w:pPr>
      <w:r w:rsidRPr="005015C7">
        <w:rPr>
          <w:color w:val="auto"/>
        </w:rPr>
        <w:t>Introduction</w:t>
      </w:r>
    </w:p>
    <w:p w14:paraId="2F935FB9" w14:textId="03B7A09C" w:rsidR="00B1648A" w:rsidRPr="00B1648A" w:rsidRDefault="00B1648A" w:rsidP="00F61DD7">
      <w:pPr>
        <w:pStyle w:val="Heading2"/>
        <w:numPr>
          <w:ilvl w:val="1"/>
          <w:numId w:val="1"/>
        </w:numPr>
        <w:ind w:left="720" w:hanging="720"/>
        <w:rPr>
          <w:color w:val="000000"/>
          <w:szCs w:val="24"/>
        </w:rPr>
      </w:pPr>
      <w:r>
        <w:rPr>
          <w:color w:val="000000"/>
          <w:szCs w:val="24"/>
        </w:rPr>
        <w:t xml:space="preserve">I am ruling on the issue of whether the court should make an excepting direction under </w:t>
      </w:r>
      <w:r>
        <w:t>S45(4) of the Youth Justice and Criminal Evidence Act</w:t>
      </w:r>
      <w:r w:rsidR="000B632A">
        <w:t xml:space="preserve"> (YJCEA)</w:t>
      </w:r>
      <w:r>
        <w:t xml:space="preserve"> 1999</w:t>
      </w:r>
      <w:r w:rsidR="008C6E2F">
        <w:t xml:space="preserve"> in respect of these two young defendants. </w:t>
      </w:r>
    </w:p>
    <w:p w14:paraId="5BE27C11" w14:textId="1ABE826D" w:rsidR="00B1648A" w:rsidRPr="005015C7" w:rsidRDefault="00B1648A" w:rsidP="00713C95">
      <w:pPr>
        <w:pStyle w:val="Heading1"/>
        <w:numPr>
          <w:ilvl w:val="0"/>
          <w:numId w:val="1"/>
        </w:numPr>
        <w:rPr>
          <w:color w:val="auto"/>
        </w:rPr>
      </w:pPr>
      <w:r w:rsidRPr="005015C7">
        <w:rPr>
          <w:color w:val="auto"/>
        </w:rPr>
        <w:t>History</w:t>
      </w:r>
    </w:p>
    <w:p w14:paraId="6AC19C11" w14:textId="1CDA1E57" w:rsidR="00B1648A" w:rsidRPr="00B1648A" w:rsidRDefault="00B1648A" w:rsidP="00F61DD7">
      <w:pPr>
        <w:pStyle w:val="Heading2"/>
        <w:numPr>
          <w:ilvl w:val="1"/>
          <w:numId w:val="1"/>
        </w:numPr>
        <w:ind w:left="720" w:hanging="720"/>
        <w:rPr>
          <w:color w:val="000000"/>
          <w:szCs w:val="24"/>
        </w:rPr>
      </w:pPr>
      <w:r>
        <w:rPr>
          <w:color w:val="000000"/>
          <w:szCs w:val="24"/>
        </w:rPr>
        <w:t xml:space="preserve">This case was originally listed before me for sentence on 19 November 2025. </w:t>
      </w:r>
    </w:p>
    <w:p w14:paraId="2024B44A" w14:textId="199E58CE" w:rsidR="00F61DD7" w:rsidRPr="00F61DD7" w:rsidRDefault="00F61DD7" w:rsidP="00F61DD7">
      <w:pPr>
        <w:pStyle w:val="Heading2"/>
        <w:numPr>
          <w:ilvl w:val="1"/>
          <w:numId w:val="1"/>
        </w:numPr>
        <w:ind w:left="720" w:hanging="720"/>
        <w:rPr>
          <w:color w:val="000000"/>
          <w:szCs w:val="24"/>
        </w:rPr>
      </w:pPr>
      <w:r>
        <w:t xml:space="preserve">The defendants are both 17 years old. </w:t>
      </w:r>
      <w:r w:rsidR="006F31ED">
        <w:t xml:space="preserve">They are </w:t>
      </w:r>
      <w:r w:rsidR="00562624">
        <w:t xml:space="preserve">both </w:t>
      </w:r>
      <w:r w:rsidR="006F31ED">
        <w:t xml:space="preserve">asylum seekers from Afghanistan. </w:t>
      </w:r>
      <w:r>
        <w:t xml:space="preserve">On 21 October 2025 they both pleaded guilty </w:t>
      </w:r>
      <w:r w:rsidR="006F31ED">
        <w:t xml:space="preserve">before the Coventry Youth Court </w:t>
      </w:r>
      <w:r>
        <w:t xml:space="preserve">to a single offence of rape </w:t>
      </w:r>
      <w:r w:rsidR="006F31ED">
        <w:t xml:space="preserve">of a </w:t>
      </w:r>
      <w:r w:rsidR="0063245C">
        <w:t>15-year-old</w:t>
      </w:r>
      <w:r w:rsidR="006F31ED">
        <w:t xml:space="preserve"> girl </w:t>
      </w:r>
      <w:r>
        <w:t xml:space="preserve">on 10 May 2025, and were sent to this court for sentence. </w:t>
      </w:r>
      <w:r w:rsidR="008E54B2">
        <w:t>They are remanded in Youth Detention.</w:t>
      </w:r>
    </w:p>
    <w:p w14:paraId="24E586A9" w14:textId="1FBD9E9C" w:rsidR="00F61DD7" w:rsidRPr="00F61DD7" w:rsidRDefault="00220CEF" w:rsidP="007B4F6D">
      <w:pPr>
        <w:pStyle w:val="Heading2"/>
        <w:numPr>
          <w:ilvl w:val="1"/>
          <w:numId w:val="1"/>
        </w:numPr>
        <w:ind w:left="720" w:hanging="720"/>
        <w:rPr>
          <w:color w:val="000000"/>
          <w:szCs w:val="24"/>
        </w:rPr>
      </w:pPr>
      <w:r>
        <w:t xml:space="preserve">A </w:t>
      </w:r>
      <w:r w:rsidR="00F61DD7">
        <w:t xml:space="preserve">direction was made </w:t>
      </w:r>
      <w:r w:rsidR="00E55474">
        <w:t xml:space="preserve">in the Youth Court </w:t>
      </w:r>
      <w:r w:rsidR="00F61DD7">
        <w:t xml:space="preserve">under S45 of the </w:t>
      </w:r>
      <w:r w:rsidR="00CC0654">
        <w:t xml:space="preserve">YJCEA </w:t>
      </w:r>
      <w:r w:rsidR="00F61DD7">
        <w:t>1999</w:t>
      </w:r>
      <w:r w:rsidR="00E55474">
        <w:t xml:space="preserve"> </w:t>
      </w:r>
      <w:r w:rsidR="00F61DD7">
        <w:t xml:space="preserve">providing that no matter may be published which would identify the defendants until they reach the age of 18. </w:t>
      </w:r>
    </w:p>
    <w:p w14:paraId="242163F9" w14:textId="638B0118" w:rsidR="00F61DD7" w:rsidRDefault="008D39E1" w:rsidP="007B4F6D">
      <w:pPr>
        <w:pStyle w:val="Heading2"/>
        <w:numPr>
          <w:ilvl w:val="1"/>
          <w:numId w:val="1"/>
        </w:numPr>
        <w:ind w:left="720" w:hanging="720"/>
        <w:rPr>
          <w:color w:val="000000"/>
          <w:szCs w:val="24"/>
        </w:rPr>
      </w:pPr>
      <w:r>
        <w:rPr>
          <w:color w:val="000000"/>
          <w:szCs w:val="24"/>
        </w:rPr>
        <w:t xml:space="preserve">JHE </w:t>
      </w:r>
      <w:r w:rsidR="00F61DD7">
        <w:rPr>
          <w:color w:val="000000"/>
          <w:szCs w:val="24"/>
        </w:rPr>
        <w:t>had an age assessment and was found to have a DOB of 1 January</w:t>
      </w:r>
      <w:r w:rsidR="00B24BAF">
        <w:rPr>
          <w:color w:val="000000"/>
          <w:szCs w:val="24"/>
        </w:rPr>
        <w:t xml:space="preserve"> 2008</w:t>
      </w:r>
      <w:r w:rsidR="00A051A7">
        <w:rPr>
          <w:color w:val="000000"/>
          <w:szCs w:val="24"/>
        </w:rPr>
        <w:t xml:space="preserve">; he </w:t>
      </w:r>
      <w:r w:rsidR="00B24BAF">
        <w:rPr>
          <w:color w:val="000000"/>
          <w:szCs w:val="24"/>
        </w:rPr>
        <w:t xml:space="preserve">will be 18 on 1 January 2026. </w:t>
      </w:r>
    </w:p>
    <w:p w14:paraId="4879A562" w14:textId="4C37BD9B" w:rsidR="00F61DD7" w:rsidRDefault="008D39E1" w:rsidP="007B4F6D">
      <w:pPr>
        <w:pStyle w:val="Heading2"/>
        <w:numPr>
          <w:ilvl w:val="1"/>
          <w:numId w:val="1"/>
        </w:numPr>
        <w:ind w:left="720" w:hanging="720"/>
        <w:rPr>
          <w:color w:val="000000"/>
          <w:szCs w:val="24"/>
        </w:rPr>
      </w:pPr>
      <w:r>
        <w:rPr>
          <w:color w:val="000000"/>
          <w:szCs w:val="24"/>
        </w:rPr>
        <w:t>AXD</w:t>
      </w:r>
      <w:r w:rsidR="00D214BF">
        <w:rPr>
          <w:color w:val="000000"/>
          <w:szCs w:val="24"/>
        </w:rPr>
        <w:t xml:space="preserve"> </w:t>
      </w:r>
      <w:r w:rsidR="00F61DD7">
        <w:rPr>
          <w:color w:val="000000"/>
          <w:szCs w:val="24"/>
        </w:rPr>
        <w:t xml:space="preserve">was born on </w:t>
      </w:r>
      <w:r w:rsidR="00B24BAF">
        <w:rPr>
          <w:color w:val="000000"/>
          <w:szCs w:val="24"/>
        </w:rPr>
        <w:t>22 October 2008</w:t>
      </w:r>
      <w:r w:rsidR="00A051A7">
        <w:rPr>
          <w:color w:val="000000"/>
          <w:szCs w:val="24"/>
        </w:rPr>
        <w:t xml:space="preserve">; he </w:t>
      </w:r>
      <w:r w:rsidR="00B24BAF">
        <w:rPr>
          <w:color w:val="000000"/>
          <w:szCs w:val="24"/>
        </w:rPr>
        <w:t>will be 18 on 22 October 2026.</w:t>
      </w:r>
    </w:p>
    <w:p w14:paraId="3E12FFDF" w14:textId="1956B9E8" w:rsidR="00B1648A" w:rsidRPr="008C311A" w:rsidRDefault="00B1648A" w:rsidP="00B1648A">
      <w:pPr>
        <w:pStyle w:val="Heading2"/>
        <w:numPr>
          <w:ilvl w:val="1"/>
          <w:numId w:val="1"/>
        </w:numPr>
        <w:ind w:left="720" w:hanging="720"/>
      </w:pPr>
      <w:r>
        <w:t>On 19 November</w:t>
      </w:r>
      <w:r w:rsidR="008C6E2F">
        <w:t xml:space="preserve">, </w:t>
      </w:r>
      <w:proofErr w:type="gramStart"/>
      <w:r w:rsidR="008C6E2F">
        <w:t>despite the fact that</w:t>
      </w:r>
      <w:proofErr w:type="gramEnd"/>
      <w:r w:rsidR="008C6E2F">
        <w:t xml:space="preserve"> there was then no application from the press, </w:t>
      </w:r>
      <w:r>
        <w:t xml:space="preserve"> I decided that</w:t>
      </w:r>
      <w:r w:rsidR="008C6E2F">
        <w:t xml:space="preserve"> the nature of the case meant that</w:t>
      </w:r>
      <w:r>
        <w:t xml:space="preserve"> it would be wrong for me </w:t>
      </w:r>
      <w:r>
        <w:lastRenderedPageBreak/>
        <w:t xml:space="preserve">to </w:t>
      </w:r>
      <w:r w:rsidR="0087176F">
        <w:t xml:space="preserve">sentence </w:t>
      </w:r>
      <w:r>
        <w:t xml:space="preserve">before </w:t>
      </w:r>
      <w:r w:rsidR="0087176F">
        <w:t>providing</w:t>
      </w:r>
      <w:r>
        <w:t xml:space="preserve"> an opportunity </w:t>
      </w:r>
      <w:r w:rsidR="00713C95">
        <w:t xml:space="preserve">for the press </w:t>
      </w:r>
      <w:r>
        <w:t>to</w:t>
      </w:r>
      <w:r w:rsidR="008C6E2F">
        <w:t xml:space="preserve"> be heard</w:t>
      </w:r>
      <w:r>
        <w:t>. I therefore set out a timetable as follows:</w:t>
      </w:r>
    </w:p>
    <w:p w14:paraId="79EEE034" w14:textId="77777777" w:rsidR="00B1648A" w:rsidRPr="008C311A" w:rsidRDefault="00B1648A" w:rsidP="00B1648A">
      <w:pPr>
        <w:pStyle w:val="Heading2"/>
        <w:ind w:left="720"/>
      </w:pPr>
      <w:r>
        <w:t xml:space="preserve">(1) </w:t>
      </w:r>
      <w:r w:rsidRPr="008C311A">
        <w:t>any application</w:t>
      </w:r>
      <w:r>
        <w:t xml:space="preserve"> by any member of the press</w:t>
      </w:r>
      <w:r w:rsidRPr="008C311A">
        <w:t xml:space="preserve"> for an excepting direction to be</w:t>
      </w:r>
      <w:r>
        <w:t xml:space="preserve"> </w:t>
      </w:r>
      <w:r w:rsidRPr="008C311A">
        <w:t>made by 4pm 26 November 2025</w:t>
      </w:r>
      <w:r>
        <w:t>.</w:t>
      </w:r>
    </w:p>
    <w:p w14:paraId="5C1C350F" w14:textId="0BC0E717" w:rsidR="00B1648A" w:rsidRDefault="00B1648A" w:rsidP="00B1648A">
      <w:pPr>
        <w:pStyle w:val="Heading2"/>
        <w:ind w:left="720"/>
      </w:pPr>
      <w:r>
        <w:t>(2) reports from the You</w:t>
      </w:r>
      <w:r w:rsidR="008C6E2F">
        <w:t xml:space="preserve">th Justice Service (YJS) </w:t>
      </w:r>
      <w:r>
        <w:t>on any effect an excepting direction would have on the defendants to be uploaded by 4pm 3 December 2025.</w:t>
      </w:r>
    </w:p>
    <w:p w14:paraId="6F7030F4" w14:textId="00B2409E" w:rsidR="00B1648A" w:rsidRDefault="00B1648A" w:rsidP="00B1648A">
      <w:pPr>
        <w:pStyle w:val="Heading2"/>
        <w:ind w:left="720"/>
      </w:pPr>
      <w:r>
        <w:t xml:space="preserve">(3) any representations from counsel to be uploaded by 4pm 5 December 2025. </w:t>
      </w:r>
    </w:p>
    <w:p w14:paraId="7E19ADF7" w14:textId="4060FFB1" w:rsidR="0087176F" w:rsidRDefault="0087176F" w:rsidP="0087176F">
      <w:pPr>
        <w:pStyle w:val="Heading2"/>
        <w:numPr>
          <w:ilvl w:val="1"/>
          <w:numId w:val="1"/>
        </w:numPr>
        <w:ind w:left="720" w:hanging="720"/>
      </w:pPr>
      <w:r>
        <w:t xml:space="preserve">I ensured that this order was widely circulated to the press so that they would be aware of this opportunity and could decide whether they wished to avail themselves of it. </w:t>
      </w:r>
    </w:p>
    <w:p w14:paraId="629DC327" w14:textId="005F9F55" w:rsidR="00B1648A" w:rsidRPr="005015C7" w:rsidRDefault="00B1648A" w:rsidP="00713C95">
      <w:pPr>
        <w:pStyle w:val="Heading1"/>
        <w:numPr>
          <w:ilvl w:val="0"/>
          <w:numId w:val="1"/>
        </w:numPr>
        <w:rPr>
          <w:color w:val="auto"/>
        </w:rPr>
      </w:pPr>
      <w:r w:rsidRPr="005015C7">
        <w:rPr>
          <w:color w:val="auto"/>
        </w:rPr>
        <w:t>The Applications</w:t>
      </w:r>
    </w:p>
    <w:p w14:paraId="74E037E1" w14:textId="5A7AACB9" w:rsidR="00C21CCF" w:rsidRDefault="00C21CCF" w:rsidP="00713C95">
      <w:pPr>
        <w:pStyle w:val="Heading2"/>
        <w:numPr>
          <w:ilvl w:val="1"/>
          <w:numId w:val="1"/>
        </w:numPr>
        <w:ind w:left="720" w:hanging="720"/>
      </w:pPr>
      <w:r>
        <w:t xml:space="preserve">I have received four applications from members of the press for excepting directions. </w:t>
      </w:r>
    </w:p>
    <w:p w14:paraId="1236BE72" w14:textId="1F59C37D" w:rsidR="00713C95" w:rsidRDefault="00713C95" w:rsidP="0087176F">
      <w:pPr>
        <w:pStyle w:val="Heading2"/>
        <w:numPr>
          <w:ilvl w:val="0"/>
          <w:numId w:val="23"/>
        </w:numPr>
      </w:pPr>
      <w:r w:rsidRPr="00F03AB8">
        <w:t>Associated Newspapers Ltd</w:t>
      </w:r>
      <w:r>
        <w:t xml:space="preserve"> provided a letter dated 25 November 2025</w:t>
      </w:r>
      <w:r w:rsidR="001640AF">
        <w:t xml:space="preserve">, and counsel’s submissions dated 5 December 2005 which were uploaded this morning. </w:t>
      </w:r>
    </w:p>
    <w:p w14:paraId="6306E2E9" w14:textId="79457061" w:rsidR="009161B7" w:rsidRDefault="009161B7" w:rsidP="0087176F">
      <w:pPr>
        <w:pStyle w:val="Heading2"/>
        <w:numPr>
          <w:ilvl w:val="0"/>
          <w:numId w:val="23"/>
        </w:numPr>
      </w:pPr>
      <w:r>
        <w:t>Coventry Live provided a letter dated 26 November 2025.</w:t>
      </w:r>
    </w:p>
    <w:p w14:paraId="400A4697" w14:textId="665F3B47" w:rsidR="007409D7" w:rsidRDefault="007409D7" w:rsidP="0087176F">
      <w:pPr>
        <w:pStyle w:val="Heading2"/>
        <w:numPr>
          <w:ilvl w:val="0"/>
          <w:numId w:val="23"/>
        </w:numPr>
      </w:pPr>
      <w:r>
        <w:t>The BBC provided a letter dated 26 November 2025.</w:t>
      </w:r>
    </w:p>
    <w:p w14:paraId="14F283C3" w14:textId="700DF795" w:rsidR="00674B12" w:rsidRDefault="009161B7" w:rsidP="0087176F">
      <w:pPr>
        <w:pStyle w:val="Heading2"/>
        <w:numPr>
          <w:ilvl w:val="0"/>
          <w:numId w:val="23"/>
        </w:numPr>
      </w:pPr>
      <w:r>
        <w:t>The Press Association provided a letter dated 26 November 2025.</w:t>
      </w:r>
    </w:p>
    <w:p w14:paraId="101F45C6" w14:textId="32CFCC62" w:rsidR="00674B12" w:rsidRDefault="00674B12" w:rsidP="00F03AB8">
      <w:pPr>
        <w:pStyle w:val="Heading2"/>
        <w:numPr>
          <w:ilvl w:val="1"/>
          <w:numId w:val="1"/>
        </w:numPr>
        <w:ind w:left="720" w:hanging="720"/>
      </w:pPr>
      <w:r>
        <w:t xml:space="preserve">I also heard very helpful submissions today from Mr Rowe who was instructed to present oral arguments on behalf of Associated Newspapers Ltd. </w:t>
      </w:r>
    </w:p>
    <w:p w14:paraId="6F76BCD9" w14:textId="3600DDF0" w:rsidR="00713C95" w:rsidRDefault="007409D7" w:rsidP="00F03AB8">
      <w:pPr>
        <w:pStyle w:val="Heading2"/>
        <w:numPr>
          <w:ilvl w:val="1"/>
          <w:numId w:val="1"/>
        </w:numPr>
        <w:ind w:left="720" w:hanging="720"/>
      </w:pPr>
      <w:r>
        <w:t xml:space="preserve">I am not going to set out </w:t>
      </w:r>
      <w:r w:rsidR="00CC0654">
        <w:t xml:space="preserve">separately </w:t>
      </w:r>
      <w:r>
        <w:t xml:space="preserve">the details of each of these </w:t>
      </w:r>
      <w:r w:rsidR="001640AF">
        <w:t>submissions</w:t>
      </w:r>
      <w:r>
        <w:t xml:space="preserve">, all of which I have considered with great care; unsurprisingly, many of the arguments are repeated by the different organisations and they can be summarised as follows: </w:t>
      </w:r>
    </w:p>
    <w:p w14:paraId="38E2ED4B" w14:textId="1CBA16F4" w:rsidR="00713C95" w:rsidRPr="00CC0654" w:rsidRDefault="00713C95" w:rsidP="00CC0654">
      <w:pPr>
        <w:pStyle w:val="Heading2"/>
        <w:numPr>
          <w:ilvl w:val="0"/>
          <w:numId w:val="23"/>
        </w:numPr>
      </w:pPr>
      <w:r w:rsidRPr="00CC0654">
        <w:t xml:space="preserve">This </w:t>
      </w:r>
      <w:r w:rsidR="009161B7" w:rsidRPr="00CC0654">
        <w:t xml:space="preserve">is a very </w:t>
      </w:r>
      <w:r w:rsidRPr="00CC0654">
        <w:t>serious offence</w:t>
      </w:r>
      <w:r w:rsidR="009161B7" w:rsidRPr="00CC0654">
        <w:t>, and</w:t>
      </w:r>
      <w:r w:rsidRPr="00CC0654">
        <w:t xml:space="preserve"> has happened at a time when sexual offences committed by asylum seekers are of significant </w:t>
      </w:r>
      <w:r w:rsidR="008C6E2F">
        <w:t xml:space="preserve">concern to the </w:t>
      </w:r>
      <w:r w:rsidRPr="00CC0654">
        <w:t xml:space="preserve">public. </w:t>
      </w:r>
      <w:r w:rsidR="00674B12" w:rsidRPr="00CC0654">
        <w:t xml:space="preserve">The public has a right to know the identities of those who have committed these grave crimes. </w:t>
      </w:r>
    </w:p>
    <w:p w14:paraId="48A4E275" w14:textId="5348B991" w:rsidR="00674B12" w:rsidRPr="00CC0654" w:rsidRDefault="00674B12" w:rsidP="00CC0654">
      <w:pPr>
        <w:pStyle w:val="Heading2"/>
        <w:numPr>
          <w:ilvl w:val="0"/>
          <w:numId w:val="23"/>
        </w:numPr>
      </w:pPr>
      <w:r w:rsidRPr="00CC0654">
        <w:t>The failure to name the defendants gives rise to a greater risk of uninformed debate which is contrary to the public interest.</w:t>
      </w:r>
    </w:p>
    <w:p w14:paraId="43142052" w14:textId="419D81B9" w:rsidR="00674B12" w:rsidRPr="00CC0654" w:rsidRDefault="00674B12" w:rsidP="00CC0654">
      <w:pPr>
        <w:pStyle w:val="Heading2"/>
        <w:numPr>
          <w:ilvl w:val="0"/>
          <w:numId w:val="23"/>
        </w:numPr>
      </w:pPr>
      <w:r w:rsidRPr="00CC0654">
        <w:t xml:space="preserve">Naming defendants has a deterrent effect on others; a failure to name </w:t>
      </w:r>
      <w:r w:rsidR="00160BDE">
        <w:t xml:space="preserve">them </w:t>
      </w:r>
      <w:r w:rsidRPr="00CC0654">
        <w:t xml:space="preserve">could lead to an assumption on the part of young people that they will not be associated publicly with their offending, however serious, before they are 18. </w:t>
      </w:r>
    </w:p>
    <w:p w14:paraId="2AA2D00C" w14:textId="529D02C6" w:rsidR="00674B12" w:rsidRPr="00CC0654" w:rsidRDefault="00674B12" w:rsidP="00CC0654">
      <w:pPr>
        <w:pStyle w:val="Heading2"/>
        <w:numPr>
          <w:ilvl w:val="0"/>
          <w:numId w:val="23"/>
        </w:numPr>
      </w:pPr>
      <w:r w:rsidRPr="00CC0654">
        <w:lastRenderedPageBreak/>
        <w:t>Naming defendants means that innocent asylum seekers avoid suspicion.</w:t>
      </w:r>
    </w:p>
    <w:p w14:paraId="74FF3771" w14:textId="3D7C2A81" w:rsidR="00713C95" w:rsidRPr="00CC0654" w:rsidRDefault="00713C95" w:rsidP="00CC0654">
      <w:pPr>
        <w:pStyle w:val="Heading2"/>
        <w:numPr>
          <w:ilvl w:val="0"/>
          <w:numId w:val="23"/>
        </w:numPr>
      </w:pPr>
      <w:r w:rsidRPr="00CC0654">
        <w:t xml:space="preserve">The defendants may not be deported, and there is a public interest in the defendants’ identities being known </w:t>
      </w:r>
      <w:r w:rsidR="004201F4" w:rsidRPr="00CC0654">
        <w:t>as they pose a risk to those who live in their vicinity.</w:t>
      </w:r>
    </w:p>
    <w:p w14:paraId="1C6584CE" w14:textId="0CE8B0B2" w:rsidR="00674B12" w:rsidRPr="00CC0654" w:rsidRDefault="00674B12" w:rsidP="00CC0654">
      <w:pPr>
        <w:pStyle w:val="Heading2"/>
        <w:numPr>
          <w:ilvl w:val="0"/>
          <w:numId w:val="23"/>
        </w:numPr>
      </w:pPr>
      <w:r w:rsidRPr="00CC0654">
        <w:t xml:space="preserve">The fact the defendants have now pleaded guilty means that the open justice principle is more heavily weighted. </w:t>
      </w:r>
    </w:p>
    <w:p w14:paraId="697B159F" w14:textId="66D25924" w:rsidR="00873D04" w:rsidRPr="00CC0654" w:rsidRDefault="004201F4" w:rsidP="00CC0654">
      <w:pPr>
        <w:pStyle w:val="Heading2"/>
        <w:numPr>
          <w:ilvl w:val="0"/>
          <w:numId w:val="23"/>
        </w:numPr>
      </w:pPr>
      <w:r w:rsidRPr="00CC0654">
        <w:t>Given that the defendants are so close to their majority, their continued anonymity for a short period of time is unlikely to assist in their rehabilitation.</w:t>
      </w:r>
      <w:r w:rsidR="00873D04" w:rsidRPr="00873D04">
        <w:t xml:space="preserve"> </w:t>
      </w:r>
    </w:p>
    <w:p w14:paraId="42668839" w14:textId="3EE0E927" w:rsidR="00B1648A" w:rsidRPr="005015C7" w:rsidRDefault="00B1648A" w:rsidP="00713C95">
      <w:pPr>
        <w:pStyle w:val="Heading1"/>
        <w:numPr>
          <w:ilvl w:val="0"/>
          <w:numId w:val="1"/>
        </w:numPr>
        <w:rPr>
          <w:color w:val="auto"/>
        </w:rPr>
      </w:pPr>
      <w:r w:rsidRPr="005015C7">
        <w:rPr>
          <w:color w:val="auto"/>
        </w:rPr>
        <w:t xml:space="preserve">The </w:t>
      </w:r>
      <w:r w:rsidR="008C6E2F" w:rsidRPr="005015C7">
        <w:rPr>
          <w:color w:val="auto"/>
        </w:rPr>
        <w:t xml:space="preserve">Warwickshire Youth Justice Service </w:t>
      </w:r>
      <w:r w:rsidRPr="005015C7">
        <w:rPr>
          <w:color w:val="auto"/>
        </w:rPr>
        <w:t>Report</w:t>
      </w:r>
    </w:p>
    <w:p w14:paraId="0A2204FA" w14:textId="05B7B9A7" w:rsidR="00B1648A" w:rsidRDefault="00B1648A" w:rsidP="00713C95">
      <w:pPr>
        <w:pStyle w:val="Heading2"/>
        <w:numPr>
          <w:ilvl w:val="1"/>
          <w:numId w:val="1"/>
        </w:numPr>
        <w:ind w:left="720" w:hanging="720"/>
      </w:pPr>
      <w:r>
        <w:t xml:space="preserve">I have received </w:t>
      </w:r>
      <w:r w:rsidR="00732E0B">
        <w:t xml:space="preserve">a short </w:t>
      </w:r>
      <w:r>
        <w:t>report from the Y</w:t>
      </w:r>
      <w:r w:rsidR="008C6E2F">
        <w:t>JS</w:t>
      </w:r>
      <w:r>
        <w:t xml:space="preserve"> </w:t>
      </w:r>
      <w:r w:rsidR="009C0C90">
        <w:t xml:space="preserve">dated 20 November 2025 </w:t>
      </w:r>
      <w:r>
        <w:t xml:space="preserve">in respect of both defendants. </w:t>
      </w:r>
      <w:r w:rsidR="00732E0B">
        <w:t xml:space="preserve">This </w:t>
      </w:r>
      <w:r w:rsidR="00C77161">
        <w:t xml:space="preserve">makes </w:t>
      </w:r>
      <w:proofErr w:type="gramStart"/>
      <w:r w:rsidR="00C77161">
        <w:t>a number of</w:t>
      </w:r>
      <w:proofErr w:type="gramEnd"/>
      <w:r w:rsidR="00C77161">
        <w:t xml:space="preserve"> points in favour of maintaining reporting restrictions on both; it does not distinguish between them, </w:t>
      </w:r>
      <w:proofErr w:type="gramStart"/>
      <w:r w:rsidR="00C77161">
        <w:t>despite the fact that</w:t>
      </w:r>
      <w:proofErr w:type="gramEnd"/>
      <w:r w:rsidR="00C77161">
        <w:t xml:space="preserve"> JHE will attain his majority in three </w:t>
      </w:r>
      <w:proofErr w:type="spellStart"/>
      <w:r w:rsidR="00C77161">
        <w:t>weeks time</w:t>
      </w:r>
      <w:proofErr w:type="spellEnd"/>
      <w:r w:rsidR="00C77161">
        <w:t xml:space="preserve">, whereas AXD </w:t>
      </w:r>
      <w:r w:rsidR="0024182C">
        <w:t xml:space="preserve">does not turn 18 until October 2026. </w:t>
      </w:r>
    </w:p>
    <w:p w14:paraId="20A87E8B" w14:textId="2CB82BCF" w:rsidR="0024182C" w:rsidRDefault="0024182C" w:rsidP="00713C95">
      <w:pPr>
        <w:pStyle w:val="Heading2"/>
        <w:numPr>
          <w:ilvl w:val="1"/>
          <w:numId w:val="1"/>
        </w:numPr>
        <w:ind w:left="720" w:hanging="720"/>
      </w:pPr>
      <w:r>
        <w:t>The points list</w:t>
      </w:r>
      <w:r w:rsidR="009C0C90">
        <w:t>ed</w:t>
      </w:r>
      <w:r>
        <w:t xml:space="preserve"> </w:t>
      </w:r>
      <w:r w:rsidR="008C6E2F">
        <w:t xml:space="preserve">can be summarised </w:t>
      </w:r>
      <w:r>
        <w:t>as follows:</w:t>
      </w:r>
    </w:p>
    <w:p w14:paraId="26A787BA" w14:textId="38B0FB17" w:rsidR="008C6E2F" w:rsidRDefault="008C6E2F" w:rsidP="008C6E2F">
      <w:pPr>
        <w:pStyle w:val="Heading2"/>
        <w:numPr>
          <w:ilvl w:val="0"/>
          <w:numId w:val="23"/>
        </w:numPr>
      </w:pPr>
      <w:r>
        <w:t>The defendants are vulnerable by reason of the fact they are asylum seekers with no family support network in the UK, who have heightened risks of exploitation and harm.</w:t>
      </w:r>
    </w:p>
    <w:p w14:paraId="7160150A" w14:textId="542EA002" w:rsidR="008C6E2F" w:rsidRDefault="008C6E2F" w:rsidP="008C6E2F">
      <w:pPr>
        <w:pStyle w:val="Heading2"/>
        <w:numPr>
          <w:ilvl w:val="0"/>
          <w:numId w:val="23"/>
        </w:numPr>
      </w:pPr>
      <w:r>
        <w:t>Both have additional needs, including the effects of trauma and poor mental health.</w:t>
      </w:r>
    </w:p>
    <w:p w14:paraId="49FF7C31" w14:textId="7688AC7E" w:rsidR="008C6E2F" w:rsidRDefault="008C6E2F" w:rsidP="008C6E2F">
      <w:pPr>
        <w:pStyle w:val="Heading2"/>
        <w:numPr>
          <w:ilvl w:val="0"/>
          <w:numId w:val="23"/>
        </w:numPr>
      </w:pPr>
      <w:r>
        <w:t>Lifting restrictions would be likely to expose them to a serious risk of targeted harm and discrimination in custody, and would require segregation from the general population, which would further isolate them.</w:t>
      </w:r>
    </w:p>
    <w:p w14:paraId="2D9B3668" w14:textId="342859EC" w:rsidR="0024182C" w:rsidRPr="005015C7" w:rsidRDefault="0024182C" w:rsidP="0024182C">
      <w:pPr>
        <w:pStyle w:val="Heading1"/>
        <w:numPr>
          <w:ilvl w:val="0"/>
          <w:numId w:val="1"/>
        </w:numPr>
        <w:rPr>
          <w:color w:val="auto"/>
        </w:rPr>
      </w:pPr>
      <w:r w:rsidRPr="005015C7">
        <w:rPr>
          <w:color w:val="auto"/>
        </w:rPr>
        <w:t xml:space="preserve">Defence argument for AXD </w:t>
      </w:r>
    </w:p>
    <w:p w14:paraId="5858BFBD" w14:textId="20EE2F50" w:rsidR="0024182C" w:rsidRDefault="0024182C" w:rsidP="00160761">
      <w:pPr>
        <w:pStyle w:val="Heading2"/>
        <w:numPr>
          <w:ilvl w:val="1"/>
          <w:numId w:val="1"/>
        </w:numPr>
        <w:ind w:left="720" w:hanging="720"/>
      </w:pPr>
      <w:r>
        <w:t xml:space="preserve">Defence for </w:t>
      </w:r>
      <w:r w:rsidR="00160761">
        <w:t xml:space="preserve">AXD has submitted a written argument where he </w:t>
      </w:r>
      <w:r w:rsidR="009C0C90">
        <w:t>raises</w:t>
      </w:r>
      <w:r w:rsidR="00160761">
        <w:t xml:space="preserve"> the following points:</w:t>
      </w:r>
    </w:p>
    <w:p w14:paraId="7F36CA50" w14:textId="1E4C7D9F" w:rsidR="00160761" w:rsidRDefault="008C6E2F" w:rsidP="008C6E2F">
      <w:pPr>
        <w:pStyle w:val="Heading2"/>
        <w:numPr>
          <w:ilvl w:val="0"/>
          <w:numId w:val="23"/>
        </w:numPr>
      </w:pPr>
      <w:r>
        <w:t xml:space="preserve">AXD does not turn 18 for another 10 months; </w:t>
      </w:r>
      <w:r w:rsidR="00160761">
        <w:t>Because of his age</w:t>
      </w:r>
      <w:r w:rsidR="00067A56">
        <w:t xml:space="preserve"> at the time of conviction</w:t>
      </w:r>
      <w:r w:rsidR="00160761">
        <w:t>, AXD is not liable to automatic deportation, and he is likely on release to seek to build a life in the UK</w:t>
      </w:r>
      <w:r>
        <w:t>.</w:t>
      </w:r>
    </w:p>
    <w:p w14:paraId="5F0908B6" w14:textId="3DED15FB" w:rsidR="00160761" w:rsidRDefault="00160761" w:rsidP="00CC0654">
      <w:pPr>
        <w:pStyle w:val="Heading2"/>
        <w:numPr>
          <w:ilvl w:val="0"/>
          <w:numId w:val="23"/>
        </w:numPr>
      </w:pPr>
      <w:r>
        <w:t>AXD’s adverse childhood experiences have had considerable impact on his mental health</w:t>
      </w:r>
      <w:r w:rsidR="008C6E2F">
        <w:t>.</w:t>
      </w:r>
    </w:p>
    <w:p w14:paraId="468BB789" w14:textId="0766195B" w:rsidR="00224C1A" w:rsidRDefault="00224C1A" w:rsidP="00CC0654">
      <w:pPr>
        <w:pStyle w:val="Heading2"/>
        <w:numPr>
          <w:ilvl w:val="0"/>
          <w:numId w:val="23"/>
        </w:numPr>
      </w:pPr>
      <w:r>
        <w:t>The reporting of his name would interfere with his right to a private life</w:t>
      </w:r>
      <w:r w:rsidR="00067A56">
        <w:t>; if he is named he is likely to be targeted. T</w:t>
      </w:r>
      <w:r>
        <w:t xml:space="preserve">he risks to AXD both in custody and in the community cannot be underestimated, and if there is </w:t>
      </w:r>
      <w:r>
        <w:lastRenderedPageBreak/>
        <w:t>a credible risk that dispensation with anonymity will threaten AXD’s life that would violate his Article 2 rights</w:t>
      </w:r>
      <w:r w:rsidR="008C6E2F">
        <w:t>.</w:t>
      </w:r>
    </w:p>
    <w:p w14:paraId="05D6DACB" w14:textId="77777777" w:rsidR="00067A56" w:rsidRDefault="00067A56" w:rsidP="00CC0654">
      <w:pPr>
        <w:pStyle w:val="Heading2"/>
        <w:numPr>
          <w:ilvl w:val="0"/>
          <w:numId w:val="23"/>
        </w:numPr>
      </w:pPr>
      <w:r>
        <w:t xml:space="preserve">Given his age, there should be an emphasis on welfare and rehabilitation. This will be much easier to achieve if he is able to settle into the prison estate without being made notorious. </w:t>
      </w:r>
    </w:p>
    <w:p w14:paraId="27C0D1C5" w14:textId="138DF044" w:rsidR="0011636E" w:rsidRPr="00067A56" w:rsidRDefault="0011636E" w:rsidP="00CC0654">
      <w:pPr>
        <w:pStyle w:val="Heading2"/>
        <w:numPr>
          <w:ilvl w:val="0"/>
          <w:numId w:val="23"/>
        </w:numPr>
        <w:rPr>
          <w:color w:val="000000" w:themeColor="text1"/>
        </w:rPr>
      </w:pPr>
      <w:r w:rsidRPr="00067A56">
        <w:rPr>
          <w:color w:val="000000" w:themeColor="text1"/>
          <w:szCs w:val="24"/>
        </w:rPr>
        <w:t>The press can properly convey to the public</w:t>
      </w:r>
      <w:r w:rsidR="00067A56">
        <w:rPr>
          <w:color w:val="000000" w:themeColor="text1"/>
          <w:szCs w:val="24"/>
        </w:rPr>
        <w:t xml:space="preserve"> the fact that this offence has been committed by asylum seekers from Afghanistan</w:t>
      </w:r>
      <w:r w:rsidRPr="00067A56">
        <w:rPr>
          <w:color w:val="000000" w:themeColor="text1"/>
          <w:szCs w:val="24"/>
        </w:rPr>
        <w:t xml:space="preserve">. </w:t>
      </w:r>
      <w:r w:rsidR="00067A56" w:rsidRPr="00067A56">
        <w:rPr>
          <w:color w:val="000000" w:themeColor="text1"/>
          <w:szCs w:val="24"/>
        </w:rPr>
        <w:t xml:space="preserve">Knowing the name of AXD </w:t>
      </w:r>
      <w:r w:rsidRPr="00067A56">
        <w:rPr>
          <w:color w:val="000000" w:themeColor="text1"/>
          <w:szCs w:val="24"/>
        </w:rPr>
        <w:t xml:space="preserve">is not </w:t>
      </w:r>
      <w:r w:rsidR="00067A56" w:rsidRPr="00067A56">
        <w:rPr>
          <w:color w:val="000000" w:themeColor="text1"/>
          <w:szCs w:val="24"/>
        </w:rPr>
        <w:t xml:space="preserve">necessary for this to be properly reported. </w:t>
      </w:r>
      <w:r w:rsidRPr="00067A56">
        <w:rPr>
          <w:color w:val="000000" w:themeColor="text1"/>
          <w:szCs w:val="24"/>
        </w:rPr>
        <w:t xml:space="preserve"> </w:t>
      </w:r>
    </w:p>
    <w:p w14:paraId="417498AA" w14:textId="1DED4E9D" w:rsidR="0011636E" w:rsidRPr="005015C7" w:rsidRDefault="0011636E" w:rsidP="00067A56">
      <w:pPr>
        <w:pStyle w:val="Heading1"/>
        <w:numPr>
          <w:ilvl w:val="0"/>
          <w:numId w:val="1"/>
        </w:numPr>
        <w:rPr>
          <w:color w:val="auto"/>
        </w:rPr>
      </w:pPr>
      <w:r w:rsidRPr="005015C7">
        <w:rPr>
          <w:color w:val="auto"/>
        </w:rPr>
        <w:t>Defence argument for JHE</w:t>
      </w:r>
    </w:p>
    <w:p w14:paraId="4CF9F939" w14:textId="20F22BA0" w:rsidR="00067A56" w:rsidRDefault="00067A56" w:rsidP="00067A56">
      <w:pPr>
        <w:pStyle w:val="Heading2"/>
        <w:numPr>
          <w:ilvl w:val="1"/>
          <w:numId w:val="1"/>
        </w:numPr>
        <w:ind w:left="720" w:hanging="720"/>
      </w:pPr>
      <w:r>
        <w:t xml:space="preserve">Given JHE’s </w:t>
      </w:r>
      <w:r w:rsidR="000D27E5">
        <w:t>proximity</w:t>
      </w:r>
      <w:r>
        <w:t xml:space="preserve"> to his 18</w:t>
      </w:r>
      <w:r w:rsidRPr="00067A56">
        <w:t>th</w:t>
      </w:r>
      <w:r>
        <w:t xml:space="preserve"> birthday his counsel acknowledged that his argument has less force. </w:t>
      </w:r>
    </w:p>
    <w:p w14:paraId="0EC3C488" w14:textId="2F9EFC1A" w:rsidR="00067A56" w:rsidRPr="00067A56" w:rsidRDefault="00067A56" w:rsidP="00067A56">
      <w:pPr>
        <w:pStyle w:val="Heading2"/>
        <w:numPr>
          <w:ilvl w:val="1"/>
          <w:numId w:val="1"/>
        </w:numPr>
        <w:ind w:left="720" w:hanging="720"/>
      </w:pPr>
      <w:r>
        <w:t xml:space="preserve">He </w:t>
      </w:r>
      <w:r w:rsidR="00710E2D">
        <w:t xml:space="preserve">raised </w:t>
      </w:r>
      <w:r>
        <w:t xml:space="preserve">the argument that not only should the name and identity of these two defendants not be reported, but also that their nationality and immigration status should be kept from the public, </w:t>
      </w:r>
      <w:proofErr w:type="gramStart"/>
      <w:r>
        <w:t>in order to</w:t>
      </w:r>
      <w:proofErr w:type="gramEnd"/>
      <w:r>
        <w:t xml:space="preserve"> avoid the risk of widespread disorder. </w:t>
      </w:r>
      <w:r w:rsidR="000D27E5">
        <w:t>I make it clear that this is not an argument raised by any other party</w:t>
      </w:r>
      <w:r w:rsidR="00710E2D">
        <w:t>; there has never been any question as far as this court is concerned of preventing reporting of these details,</w:t>
      </w:r>
      <w:r w:rsidR="000D27E5">
        <w:t xml:space="preserve"> and</w:t>
      </w:r>
      <w:r w:rsidR="00710E2D">
        <w:t xml:space="preserve"> it</w:t>
      </w:r>
      <w:r w:rsidR="000D27E5">
        <w:t xml:space="preserve"> </w:t>
      </w:r>
      <w:r w:rsidR="00710E2D">
        <w:t xml:space="preserve">is </w:t>
      </w:r>
      <w:r w:rsidR="000D27E5">
        <w:t xml:space="preserve">not relevant to the decision in this case. </w:t>
      </w:r>
    </w:p>
    <w:p w14:paraId="18FD4D04" w14:textId="77777777" w:rsidR="00067A56" w:rsidRPr="005015C7" w:rsidRDefault="00713C95" w:rsidP="00067A56">
      <w:pPr>
        <w:pStyle w:val="Heading1"/>
        <w:numPr>
          <w:ilvl w:val="0"/>
          <w:numId w:val="1"/>
        </w:numPr>
        <w:rPr>
          <w:color w:val="auto"/>
        </w:rPr>
      </w:pPr>
      <w:r w:rsidRPr="005015C7">
        <w:rPr>
          <w:color w:val="auto"/>
        </w:rPr>
        <w:t>Prosecution Position</w:t>
      </w:r>
    </w:p>
    <w:p w14:paraId="334D0681" w14:textId="2E735129" w:rsidR="007409D7" w:rsidRDefault="007409D7" w:rsidP="00067A56">
      <w:pPr>
        <w:pStyle w:val="Heading2"/>
        <w:numPr>
          <w:ilvl w:val="1"/>
          <w:numId w:val="1"/>
        </w:numPr>
        <w:ind w:left="720" w:hanging="720"/>
      </w:pPr>
      <w:r>
        <w:t xml:space="preserve">I have received </w:t>
      </w:r>
      <w:r w:rsidR="00067A56">
        <w:t xml:space="preserve">helpful submissions </w:t>
      </w:r>
      <w:r>
        <w:t xml:space="preserve">from the prosecution who take a neutral position. </w:t>
      </w:r>
    </w:p>
    <w:p w14:paraId="2BF08B26" w14:textId="1AE0200C" w:rsidR="00F65F49" w:rsidRDefault="00F65F49" w:rsidP="00067A56">
      <w:pPr>
        <w:pStyle w:val="Heading2"/>
        <w:numPr>
          <w:ilvl w:val="1"/>
          <w:numId w:val="1"/>
        </w:numPr>
        <w:ind w:left="720" w:hanging="720"/>
      </w:pPr>
      <w:r>
        <w:t>They list factors capable of supporting an exception direction, which are essentially those referred to in the med</w:t>
      </w:r>
      <w:r w:rsidR="0011636E">
        <w:t>i</w:t>
      </w:r>
      <w:r>
        <w:t xml:space="preserve">a submissions. </w:t>
      </w:r>
    </w:p>
    <w:p w14:paraId="27065F99" w14:textId="4206A935" w:rsidR="00F65F49" w:rsidRDefault="00F65F49" w:rsidP="00067A56">
      <w:pPr>
        <w:pStyle w:val="Heading2"/>
        <w:numPr>
          <w:ilvl w:val="1"/>
          <w:numId w:val="1"/>
        </w:numPr>
        <w:ind w:left="720" w:hanging="720"/>
      </w:pPr>
      <w:r>
        <w:t>They also list factors capable of supporting the maintenance of restrictions. These include:</w:t>
      </w:r>
    </w:p>
    <w:p w14:paraId="1D268973" w14:textId="1EED08C2" w:rsidR="00F65F49" w:rsidRDefault="00F65F49" w:rsidP="001640AF">
      <w:pPr>
        <w:pStyle w:val="Heading2"/>
        <w:numPr>
          <w:ilvl w:val="0"/>
          <w:numId w:val="20"/>
        </w:numPr>
      </w:pPr>
      <w:r>
        <w:t xml:space="preserve">The impact of hostile reporting and social media vilification on an </w:t>
      </w:r>
      <w:r w:rsidR="00B001AA">
        <w:t>offender’s</w:t>
      </w:r>
      <w:r>
        <w:t xml:space="preserve"> mental health and rehabilitation. Full identification can expose </w:t>
      </w:r>
      <w:r w:rsidR="00B001AA">
        <w:t>offenders</w:t>
      </w:r>
      <w:r>
        <w:t xml:space="preserve"> to significant online abuse and harassment, and potential targeting within the custodia</w:t>
      </w:r>
      <w:r w:rsidR="008C6E2F">
        <w:t>l</w:t>
      </w:r>
      <w:r>
        <w:t xml:space="preserve"> estate. </w:t>
      </w:r>
    </w:p>
    <w:p w14:paraId="523F46EF" w14:textId="2F533400" w:rsidR="00F65F49" w:rsidRDefault="00F65F49" w:rsidP="001640AF">
      <w:pPr>
        <w:pStyle w:val="Heading2"/>
        <w:numPr>
          <w:ilvl w:val="0"/>
          <w:numId w:val="20"/>
        </w:numPr>
      </w:pPr>
      <w:r>
        <w:t xml:space="preserve">The extent of the current restriction, given that the press is already free to report the facts of the offence and the nationality and immigration status of the defendants. </w:t>
      </w:r>
      <w:r w:rsidR="00B001AA">
        <w:t xml:space="preserve">The restriction of the </w:t>
      </w:r>
      <w:r w:rsidR="008C6E2F">
        <w:t>defendants’</w:t>
      </w:r>
      <w:r w:rsidR="00B001AA">
        <w:t xml:space="preserve"> images, names and identifying details may not amount to a “</w:t>
      </w:r>
      <w:r w:rsidR="001640AF">
        <w:t>substantial and unreasonable” restriction.</w:t>
      </w:r>
    </w:p>
    <w:p w14:paraId="69321628" w14:textId="25EDDFDE" w:rsidR="001640AF" w:rsidRDefault="001640AF" w:rsidP="001640AF">
      <w:pPr>
        <w:pStyle w:val="Heading2"/>
        <w:numPr>
          <w:ilvl w:val="0"/>
          <w:numId w:val="20"/>
        </w:numPr>
      </w:pPr>
      <w:r>
        <w:t xml:space="preserve">Although the S45 order will expire when each youth reaches 18, there remains a period during which anonymity may assist in stabilising them in custody. </w:t>
      </w:r>
    </w:p>
    <w:p w14:paraId="18CA14F3" w14:textId="7D55868B" w:rsidR="001640AF" w:rsidRDefault="001640AF" w:rsidP="00067A56">
      <w:pPr>
        <w:pStyle w:val="Heading2"/>
        <w:numPr>
          <w:ilvl w:val="1"/>
          <w:numId w:val="1"/>
        </w:numPr>
        <w:ind w:left="720" w:hanging="720"/>
      </w:pPr>
      <w:r>
        <w:lastRenderedPageBreak/>
        <w:t xml:space="preserve">The prosecution also points out that there are possible intermediate courses, including publication of names and ages but restriction on publication of former addresses or accommodation details. </w:t>
      </w:r>
    </w:p>
    <w:p w14:paraId="229E9189" w14:textId="65EC24C3" w:rsidR="00B1648A" w:rsidRPr="005015C7" w:rsidRDefault="00B1648A" w:rsidP="001D69AF">
      <w:pPr>
        <w:pStyle w:val="Heading1"/>
        <w:numPr>
          <w:ilvl w:val="0"/>
          <w:numId w:val="1"/>
        </w:numPr>
        <w:rPr>
          <w:color w:val="auto"/>
        </w:rPr>
      </w:pPr>
      <w:r w:rsidRPr="005015C7">
        <w:rPr>
          <w:color w:val="auto"/>
        </w:rPr>
        <w:t>The Law</w:t>
      </w:r>
    </w:p>
    <w:p w14:paraId="6C8E64E7" w14:textId="77777777" w:rsidR="00B1648A" w:rsidRPr="008C311A" w:rsidRDefault="00B1648A" w:rsidP="001D69AF">
      <w:pPr>
        <w:pStyle w:val="Heading2"/>
        <w:numPr>
          <w:ilvl w:val="1"/>
          <w:numId w:val="1"/>
        </w:numPr>
        <w:ind w:left="720" w:hanging="720"/>
      </w:pPr>
      <w:r w:rsidRPr="008C311A">
        <w:t>Unde</w:t>
      </w:r>
      <w:r>
        <w:t>r</w:t>
      </w:r>
      <w:r w:rsidRPr="008C311A">
        <w:t xml:space="preserve"> S45 of the YJCEA 1999: </w:t>
      </w:r>
    </w:p>
    <w:p w14:paraId="2DC1ED2D" w14:textId="77777777" w:rsidR="00B1648A" w:rsidRPr="00A051A7" w:rsidRDefault="00B1648A" w:rsidP="00B1648A">
      <w:pPr>
        <w:pStyle w:val="Heading2"/>
        <w:ind w:left="720"/>
        <w:rPr>
          <w:i/>
          <w:iCs/>
        </w:rPr>
      </w:pPr>
      <w:r w:rsidRPr="00A051A7">
        <w:rPr>
          <w:i/>
          <w:iCs/>
        </w:rPr>
        <w:t>(3) The court may direct that no matter relating to any person concerned in the proceedings shall while he is under the age of 18 be included in any publication if it is likely to lead members of the public to identify him as a person concerned in the proceedings.</w:t>
      </w:r>
    </w:p>
    <w:p w14:paraId="03B4A98C" w14:textId="77777777" w:rsidR="00B1648A" w:rsidRPr="00A051A7" w:rsidRDefault="00B1648A" w:rsidP="00B1648A">
      <w:pPr>
        <w:pStyle w:val="Heading2"/>
        <w:ind w:left="720"/>
        <w:rPr>
          <w:i/>
          <w:iCs/>
        </w:rPr>
      </w:pPr>
      <w:r w:rsidRPr="00A051A7">
        <w:rPr>
          <w:i/>
          <w:iCs/>
        </w:rPr>
        <w:t>(4) The court or an appellate court may by direction (“an excepting direction”) dispense, to any extent specified in the excepting direction, with the restrictions imposed by a direction under subsection (3) if it is satisfied that it is necessary in the interests of justice to do so.</w:t>
      </w:r>
    </w:p>
    <w:p w14:paraId="44D91D4D" w14:textId="77777777" w:rsidR="00B1648A" w:rsidRPr="00A051A7" w:rsidRDefault="00B1648A" w:rsidP="00B1648A">
      <w:pPr>
        <w:pStyle w:val="Heading2"/>
        <w:ind w:left="720"/>
        <w:rPr>
          <w:i/>
          <w:iCs/>
        </w:rPr>
      </w:pPr>
      <w:r w:rsidRPr="00A051A7">
        <w:rPr>
          <w:i/>
          <w:iCs/>
        </w:rPr>
        <w:t>(5) The court or an appellate court may also by direction (“an excepting direction”) dispense, to any extent specified in the excepting direction, with the restrictions imposed by a direction under subsection (3) if it is satisfied—</w:t>
      </w:r>
    </w:p>
    <w:p w14:paraId="5845EAB6" w14:textId="77777777" w:rsidR="00B1648A" w:rsidRPr="00A051A7" w:rsidRDefault="00B1648A" w:rsidP="00B1648A">
      <w:pPr>
        <w:pStyle w:val="Heading2"/>
        <w:ind w:left="1440"/>
        <w:rPr>
          <w:i/>
          <w:iCs/>
        </w:rPr>
      </w:pPr>
      <w:r w:rsidRPr="00A051A7">
        <w:rPr>
          <w:i/>
          <w:iCs/>
        </w:rPr>
        <w:t>(a) that their effect is to impose a substantial and unreasonable restriction on the reporting of the proceedings, and</w:t>
      </w:r>
    </w:p>
    <w:p w14:paraId="0D4A3CDC" w14:textId="77777777" w:rsidR="00B1648A" w:rsidRPr="00A051A7" w:rsidRDefault="00B1648A" w:rsidP="00B1648A">
      <w:pPr>
        <w:pStyle w:val="Heading2"/>
        <w:ind w:left="1440"/>
        <w:rPr>
          <w:i/>
          <w:iCs/>
        </w:rPr>
      </w:pPr>
      <w:r w:rsidRPr="00A051A7">
        <w:rPr>
          <w:i/>
          <w:iCs/>
        </w:rPr>
        <w:t>(b) that it is in the public interest to remove or relax that restriction;</w:t>
      </w:r>
    </w:p>
    <w:p w14:paraId="740D773F" w14:textId="77777777" w:rsidR="00B1648A" w:rsidRDefault="00B1648A" w:rsidP="00B1648A">
      <w:pPr>
        <w:pStyle w:val="Heading2"/>
        <w:ind w:left="720"/>
        <w:rPr>
          <w:i/>
          <w:iCs/>
        </w:rPr>
      </w:pPr>
      <w:r>
        <w:rPr>
          <w:i/>
          <w:iCs/>
        </w:rPr>
        <w:t>[…]</w:t>
      </w:r>
    </w:p>
    <w:p w14:paraId="43A495FC" w14:textId="77777777" w:rsidR="00B1648A" w:rsidRPr="00220CEF" w:rsidRDefault="00B1648A" w:rsidP="00B1648A">
      <w:pPr>
        <w:pStyle w:val="Heading2"/>
        <w:ind w:left="720"/>
        <w:rPr>
          <w:i/>
          <w:iCs/>
        </w:rPr>
      </w:pPr>
      <w:r w:rsidRPr="00220CEF">
        <w:rPr>
          <w:i/>
          <w:iCs/>
        </w:rPr>
        <w:t>(6) When deciding whether to make—</w:t>
      </w:r>
    </w:p>
    <w:p w14:paraId="1C1AC62E" w14:textId="77777777" w:rsidR="00B1648A" w:rsidRPr="00220CEF" w:rsidRDefault="00B1648A" w:rsidP="00B1648A">
      <w:pPr>
        <w:pStyle w:val="Heading2"/>
        <w:ind w:left="1440"/>
        <w:rPr>
          <w:i/>
          <w:iCs/>
        </w:rPr>
      </w:pPr>
      <w:r w:rsidRPr="00220CEF">
        <w:rPr>
          <w:i/>
          <w:iCs/>
        </w:rPr>
        <w:t>(a) a direction under subsection (3) in relation to a person, or</w:t>
      </w:r>
    </w:p>
    <w:p w14:paraId="4A31A030" w14:textId="77777777" w:rsidR="00B1648A" w:rsidRPr="00220CEF" w:rsidRDefault="00B1648A" w:rsidP="00B1648A">
      <w:pPr>
        <w:pStyle w:val="Heading2"/>
        <w:ind w:left="1440"/>
        <w:rPr>
          <w:i/>
          <w:iCs/>
        </w:rPr>
      </w:pPr>
      <w:r w:rsidRPr="00220CEF">
        <w:rPr>
          <w:i/>
          <w:iCs/>
        </w:rPr>
        <w:t>(b) an excepting direction under subsection (4) or (5) by virtue of which the restrictions imposed by a direction under subsection (3) would be dispensed with (to any extent) in relation to a person,</w:t>
      </w:r>
    </w:p>
    <w:p w14:paraId="70AD5FAE" w14:textId="69EE4B1A" w:rsidR="0011636E" w:rsidRPr="00067A56" w:rsidRDefault="00B1648A" w:rsidP="00067A56">
      <w:pPr>
        <w:pStyle w:val="Heading2"/>
        <w:ind w:left="720"/>
        <w:rPr>
          <w:i/>
          <w:iCs/>
        </w:rPr>
      </w:pPr>
      <w:r w:rsidRPr="00220CEF">
        <w:rPr>
          <w:i/>
          <w:iCs/>
        </w:rPr>
        <w:t xml:space="preserve">the court or (as the case may be) the appellate court shall have regard to the welfare of that person. </w:t>
      </w:r>
    </w:p>
    <w:p w14:paraId="38971A42" w14:textId="54D51B4E" w:rsidR="0011636E" w:rsidRDefault="00261629" w:rsidP="001D69AF">
      <w:pPr>
        <w:pStyle w:val="Heading2"/>
        <w:numPr>
          <w:ilvl w:val="1"/>
          <w:numId w:val="1"/>
        </w:numPr>
        <w:ind w:left="720" w:hanging="720"/>
      </w:pPr>
      <w:r w:rsidRPr="002F2C1E">
        <w:t xml:space="preserve">I have carefully considered </w:t>
      </w:r>
      <w:r w:rsidR="0011636E" w:rsidRPr="002F2C1E">
        <w:t>J</w:t>
      </w:r>
      <w:r w:rsidR="00067A56">
        <w:t xml:space="preserve">udicial </w:t>
      </w:r>
      <w:r w:rsidR="0011636E" w:rsidRPr="002F2C1E">
        <w:t>C</w:t>
      </w:r>
      <w:r w:rsidR="00067A56">
        <w:t>ollege</w:t>
      </w:r>
      <w:r w:rsidR="0011636E" w:rsidRPr="002F2C1E">
        <w:t xml:space="preserve"> guidance on reporting restrictions in Crown Court</w:t>
      </w:r>
      <w:r w:rsidR="00067A56">
        <w:t xml:space="preserve"> published in</w:t>
      </w:r>
      <w:r w:rsidR="0011636E" w:rsidRPr="002F2C1E">
        <w:t xml:space="preserve"> </w:t>
      </w:r>
      <w:r w:rsidR="00AB359C" w:rsidRPr="002F2C1E">
        <w:t xml:space="preserve">July 2023. </w:t>
      </w:r>
      <w:r w:rsidR="001D69AF">
        <w:t>These set out the open justice principle as follows:</w:t>
      </w:r>
    </w:p>
    <w:p w14:paraId="3B41C63F" w14:textId="38205989" w:rsidR="001D69AF" w:rsidRPr="001D69AF" w:rsidRDefault="001D69AF" w:rsidP="001D69AF">
      <w:pPr>
        <w:pStyle w:val="Heading2"/>
        <w:numPr>
          <w:ilvl w:val="1"/>
          <w:numId w:val="1"/>
        </w:numPr>
        <w:ind w:left="720" w:hanging="720"/>
        <w:rPr>
          <w:i/>
          <w:iCs/>
        </w:rPr>
      </w:pPr>
      <w:r w:rsidRPr="001D69AF">
        <w:rPr>
          <w:i/>
          <w:iCs/>
        </w:rPr>
        <w:t>The general rule is that the administration of justice must be done in public, the public and the media have the right to attend all court hearings and the media is able to report those proceedings fully and contemporaneously.</w:t>
      </w:r>
    </w:p>
    <w:p w14:paraId="655F3E6B" w14:textId="43A5DD47" w:rsidR="001D69AF" w:rsidRPr="001D69AF" w:rsidRDefault="001D69AF" w:rsidP="001D69AF">
      <w:pPr>
        <w:pStyle w:val="Heading2"/>
        <w:numPr>
          <w:ilvl w:val="0"/>
          <w:numId w:val="20"/>
        </w:numPr>
        <w:rPr>
          <w:i/>
          <w:iCs/>
        </w:rPr>
      </w:pPr>
      <w:r w:rsidRPr="001D69AF">
        <w:rPr>
          <w:i/>
          <w:iCs/>
        </w:rPr>
        <w:t>Any restriction on these usual rules will be exceptional. It must be based on necessity.</w:t>
      </w:r>
    </w:p>
    <w:p w14:paraId="6C26D89A" w14:textId="6C9B6E4D" w:rsidR="001D69AF" w:rsidRPr="001D69AF" w:rsidRDefault="001D69AF" w:rsidP="001D69AF">
      <w:pPr>
        <w:pStyle w:val="Heading2"/>
        <w:numPr>
          <w:ilvl w:val="0"/>
          <w:numId w:val="20"/>
        </w:numPr>
        <w:rPr>
          <w:i/>
          <w:iCs/>
        </w:rPr>
      </w:pPr>
      <w:r w:rsidRPr="001D69AF">
        <w:rPr>
          <w:i/>
          <w:iCs/>
        </w:rPr>
        <w:lastRenderedPageBreak/>
        <w:t xml:space="preserve">The burden is on the party seeking the restriction to establish it is necessary </w:t>
      </w:r>
      <w:proofErr w:type="gramStart"/>
      <w:r w:rsidRPr="001D69AF">
        <w:rPr>
          <w:i/>
          <w:iCs/>
        </w:rPr>
        <w:t>on the basis of</w:t>
      </w:r>
      <w:proofErr w:type="gramEnd"/>
      <w:r w:rsidRPr="001D69AF">
        <w:rPr>
          <w:i/>
          <w:iCs/>
        </w:rPr>
        <w:t xml:space="preserve"> clear and cogent evidence.</w:t>
      </w:r>
    </w:p>
    <w:p w14:paraId="304A1C06" w14:textId="54A36B15" w:rsidR="001D69AF" w:rsidRPr="001D69AF" w:rsidRDefault="001D69AF" w:rsidP="001D69AF">
      <w:pPr>
        <w:pStyle w:val="Heading2"/>
        <w:numPr>
          <w:ilvl w:val="0"/>
          <w:numId w:val="20"/>
        </w:numPr>
        <w:rPr>
          <w:i/>
          <w:iCs/>
        </w:rPr>
      </w:pPr>
      <w:r w:rsidRPr="001D69AF">
        <w:rPr>
          <w:i/>
          <w:iCs/>
        </w:rPr>
        <w:t>The terms of any order must be proportionate – going no further than is necessary to meet the relevant objective.</w:t>
      </w:r>
    </w:p>
    <w:p w14:paraId="41835755" w14:textId="4F46115F" w:rsidR="001D69AF" w:rsidRDefault="001D69AF" w:rsidP="001D69AF">
      <w:pPr>
        <w:pStyle w:val="Heading2"/>
        <w:numPr>
          <w:ilvl w:val="1"/>
          <w:numId w:val="1"/>
        </w:numPr>
        <w:ind w:left="720" w:hanging="720"/>
      </w:pPr>
      <w:r>
        <w:t xml:space="preserve">In cases such as this where an application is made under S45 </w:t>
      </w:r>
      <w:r w:rsidR="000D27E5">
        <w:t xml:space="preserve">this </w:t>
      </w:r>
      <w:r>
        <w:t>guidance is given:</w:t>
      </w:r>
    </w:p>
    <w:p w14:paraId="7D7F2ADD" w14:textId="44FF5B8B" w:rsidR="001D69AF" w:rsidRPr="001D69AF" w:rsidRDefault="001D69AF" w:rsidP="001D69AF">
      <w:pPr>
        <w:pStyle w:val="Heading2"/>
        <w:numPr>
          <w:ilvl w:val="1"/>
          <w:numId w:val="1"/>
        </w:numPr>
        <w:ind w:left="720" w:hanging="720"/>
        <w:rPr>
          <w:i/>
          <w:iCs/>
        </w:rPr>
      </w:pPr>
      <w:r w:rsidRPr="001D69AF">
        <w:rPr>
          <w:i/>
          <w:iCs/>
        </w:rPr>
        <w:t>In deciding whether to impose an order under s.45, the court must balance the open justice</w:t>
      </w:r>
      <w:r>
        <w:rPr>
          <w:i/>
          <w:iCs/>
        </w:rPr>
        <w:t xml:space="preserve"> </w:t>
      </w:r>
      <w:r w:rsidRPr="001D69AF">
        <w:rPr>
          <w:i/>
          <w:iCs/>
        </w:rPr>
        <w:t xml:space="preserve">principle against </w:t>
      </w:r>
      <w:proofErr w:type="gramStart"/>
      <w:r w:rsidRPr="001D69AF">
        <w:rPr>
          <w:i/>
          <w:iCs/>
        </w:rPr>
        <w:t>particular considerations</w:t>
      </w:r>
      <w:proofErr w:type="gramEnd"/>
      <w:r w:rsidRPr="001D69AF">
        <w:rPr>
          <w:i/>
          <w:iCs/>
        </w:rPr>
        <w:t xml:space="preserve"> relevant to those under 18. The </w:t>
      </w:r>
      <w:proofErr w:type="gramStart"/>
      <w:r w:rsidRPr="001D69AF">
        <w:rPr>
          <w:i/>
          <w:iCs/>
        </w:rPr>
        <w:t>particular</w:t>
      </w:r>
      <w:r>
        <w:rPr>
          <w:i/>
          <w:iCs/>
        </w:rPr>
        <w:t xml:space="preserve"> </w:t>
      </w:r>
      <w:r w:rsidRPr="001D69AF">
        <w:rPr>
          <w:i/>
          <w:iCs/>
        </w:rPr>
        <w:t>considerations</w:t>
      </w:r>
      <w:proofErr w:type="gramEnd"/>
      <w:r w:rsidRPr="001D69AF">
        <w:rPr>
          <w:i/>
          <w:iCs/>
        </w:rPr>
        <w:t xml:space="preserve"> include the:</w:t>
      </w:r>
    </w:p>
    <w:p w14:paraId="11DE47CD" w14:textId="4B6FA598" w:rsidR="001D69AF" w:rsidRPr="001D69AF" w:rsidRDefault="001D69AF" w:rsidP="001D69AF">
      <w:pPr>
        <w:pStyle w:val="Heading2"/>
        <w:numPr>
          <w:ilvl w:val="0"/>
          <w:numId w:val="20"/>
        </w:numPr>
        <w:rPr>
          <w:i/>
          <w:iCs/>
        </w:rPr>
      </w:pPr>
      <w:r w:rsidRPr="001D69AF">
        <w:rPr>
          <w:i/>
          <w:iCs/>
        </w:rPr>
        <w:t>Duty to have regard to the principal aim of the youth justice system to prevent reoffending by</w:t>
      </w:r>
      <w:r>
        <w:rPr>
          <w:i/>
          <w:iCs/>
        </w:rPr>
        <w:t xml:space="preserve"> </w:t>
      </w:r>
      <w:r w:rsidRPr="001D69AF">
        <w:rPr>
          <w:i/>
          <w:iCs/>
        </w:rPr>
        <w:t>children and young persons as required by s.37 CDA 1998;</w:t>
      </w:r>
    </w:p>
    <w:p w14:paraId="0881A62B" w14:textId="05FAFD1F" w:rsidR="001D69AF" w:rsidRPr="001D69AF" w:rsidRDefault="001D69AF" w:rsidP="001D69AF">
      <w:pPr>
        <w:pStyle w:val="Heading2"/>
        <w:numPr>
          <w:ilvl w:val="0"/>
          <w:numId w:val="20"/>
        </w:numPr>
        <w:rPr>
          <w:i/>
          <w:iCs/>
        </w:rPr>
      </w:pPr>
      <w:r w:rsidRPr="001D69AF">
        <w:rPr>
          <w:i/>
          <w:iCs/>
        </w:rPr>
        <w:t>Obligation to have regard to the welfare of the child or young person as required by</w:t>
      </w:r>
      <w:r>
        <w:rPr>
          <w:i/>
          <w:iCs/>
        </w:rPr>
        <w:t xml:space="preserve"> </w:t>
      </w:r>
      <w:r w:rsidRPr="001D69AF">
        <w:rPr>
          <w:i/>
          <w:iCs/>
        </w:rPr>
        <w:t>s.44 CYPA;</w:t>
      </w:r>
    </w:p>
    <w:p w14:paraId="054A1560" w14:textId="5D4FE10C" w:rsidR="001D69AF" w:rsidRPr="001D69AF" w:rsidRDefault="001D69AF" w:rsidP="001D69AF">
      <w:pPr>
        <w:pStyle w:val="Heading2"/>
        <w:numPr>
          <w:ilvl w:val="0"/>
          <w:numId w:val="20"/>
        </w:numPr>
        <w:rPr>
          <w:i/>
          <w:iCs/>
        </w:rPr>
      </w:pPr>
      <w:r w:rsidRPr="001D69AF">
        <w:rPr>
          <w:i/>
          <w:iCs/>
        </w:rPr>
        <w:t>Right to privacy under Article 8 ECHR (as interpreted through international instruments such</w:t>
      </w:r>
      <w:r>
        <w:rPr>
          <w:i/>
          <w:iCs/>
        </w:rPr>
        <w:t xml:space="preserve"> </w:t>
      </w:r>
      <w:r w:rsidRPr="001D69AF">
        <w:rPr>
          <w:i/>
          <w:iCs/>
        </w:rPr>
        <w:t>as the UN Convention on the Rights of the Child6 and the Beijing Rules); and</w:t>
      </w:r>
    </w:p>
    <w:p w14:paraId="60D7177F" w14:textId="5874D32F" w:rsidR="001D69AF" w:rsidRPr="001D69AF" w:rsidRDefault="001D69AF" w:rsidP="001D69AF">
      <w:pPr>
        <w:pStyle w:val="Heading2"/>
        <w:numPr>
          <w:ilvl w:val="0"/>
          <w:numId w:val="20"/>
        </w:numPr>
        <w:rPr>
          <w:i/>
          <w:iCs/>
        </w:rPr>
      </w:pPr>
      <w:r w:rsidRPr="001D69AF">
        <w:rPr>
          <w:i/>
          <w:iCs/>
        </w:rPr>
        <w:t>Jurisprudence requiring the ‘best interests of the child’ to be ‘a primary consideration’ (though</w:t>
      </w:r>
      <w:r>
        <w:rPr>
          <w:i/>
          <w:iCs/>
        </w:rPr>
        <w:t xml:space="preserve"> </w:t>
      </w:r>
      <w:r w:rsidRPr="001D69AF">
        <w:rPr>
          <w:i/>
          <w:iCs/>
        </w:rPr>
        <w:t>not necessarily one that prevails over all other considerations) in accordance with Article 3 of</w:t>
      </w:r>
      <w:r>
        <w:rPr>
          <w:i/>
          <w:iCs/>
        </w:rPr>
        <w:t xml:space="preserve"> </w:t>
      </w:r>
      <w:r w:rsidRPr="001D69AF">
        <w:rPr>
          <w:i/>
          <w:iCs/>
        </w:rPr>
        <w:t>the UN Convention on the Rights of the Child.</w:t>
      </w:r>
    </w:p>
    <w:p w14:paraId="0038BFCE" w14:textId="163B45AB" w:rsidR="001D69AF" w:rsidRPr="001D69AF" w:rsidRDefault="001D69AF" w:rsidP="001D69AF">
      <w:pPr>
        <w:pStyle w:val="Heading2"/>
        <w:numPr>
          <w:ilvl w:val="1"/>
          <w:numId w:val="1"/>
        </w:numPr>
        <w:ind w:left="720" w:hanging="720"/>
        <w:rPr>
          <w:i/>
          <w:iCs/>
        </w:rPr>
      </w:pPr>
      <w:r w:rsidRPr="001D69AF">
        <w:rPr>
          <w:i/>
          <w:iCs/>
        </w:rPr>
        <w:t>Neither the principle of open justice nor the best interests of the child necessarily dictate the</w:t>
      </w:r>
      <w:r>
        <w:rPr>
          <w:i/>
          <w:iCs/>
        </w:rPr>
        <w:t xml:space="preserve"> </w:t>
      </w:r>
      <w:r w:rsidRPr="001D69AF">
        <w:rPr>
          <w:i/>
          <w:iCs/>
        </w:rPr>
        <w:t>conclusion in a particular case. The court must weigh the competing public interest factors on</w:t>
      </w:r>
      <w:r>
        <w:rPr>
          <w:i/>
          <w:iCs/>
        </w:rPr>
        <w:t xml:space="preserve"> </w:t>
      </w:r>
      <w:r w:rsidRPr="001D69AF">
        <w:rPr>
          <w:i/>
          <w:iCs/>
        </w:rPr>
        <w:t xml:space="preserve">the particular facts before it. </w:t>
      </w:r>
      <w:r>
        <w:rPr>
          <w:i/>
          <w:iCs/>
        </w:rPr>
        <w:t>[…]</w:t>
      </w:r>
    </w:p>
    <w:p w14:paraId="7FF2035D" w14:textId="51F67787" w:rsidR="001D69AF" w:rsidRPr="001D69AF" w:rsidRDefault="001D69AF" w:rsidP="001D69AF">
      <w:pPr>
        <w:pStyle w:val="Heading2"/>
        <w:numPr>
          <w:ilvl w:val="1"/>
          <w:numId w:val="1"/>
        </w:numPr>
        <w:ind w:left="720" w:hanging="720"/>
        <w:rPr>
          <w:i/>
          <w:iCs/>
        </w:rPr>
      </w:pPr>
      <w:r w:rsidRPr="001D69AF">
        <w:rPr>
          <w:i/>
          <w:iCs/>
        </w:rPr>
        <w:t>In summary, the court must balance the interests of the public in the full reporting of criminal</w:t>
      </w:r>
      <w:r>
        <w:rPr>
          <w:i/>
          <w:iCs/>
        </w:rPr>
        <w:t xml:space="preserve"> </w:t>
      </w:r>
      <w:r w:rsidRPr="001D69AF">
        <w:rPr>
          <w:i/>
          <w:iCs/>
        </w:rPr>
        <w:t>proceedings against the desirability of not causing harm to a child concerned in the proceedings.</w:t>
      </w:r>
      <w:r>
        <w:rPr>
          <w:i/>
          <w:iCs/>
        </w:rPr>
        <w:t xml:space="preserve"> </w:t>
      </w:r>
      <w:r w:rsidRPr="001D69AF">
        <w:rPr>
          <w:i/>
          <w:iCs/>
        </w:rPr>
        <w:t>Among the possible public interests is the public interest in knowing the outcome of court</w:t>
      </w:r>
      <w:r>
        <w:rPr>
          <w:i/>
          <w:iCs/>
        </w:rPr>
        <w:t xml:space="preserve"> </w:t>
      </w:r>
      <w:r w:rsidRPr="001D69AF">
        <w:rPr>
          <w:i/>
          <w:iCs/>
        </w:rPr>
        <w:t>proceedings and the valuable deterrent effect that the identification of those guilty of at least</w:t>
      </w:r>
      <w:r>
        <w:rPr>
          <w:i/>
          <w:iCs/>
        </w:rPr>
        <w:t xml:space="preserve"> </w:t>
      </w:r>
      <w:r w:rsidRPr="001D69AF">
        <w:rPr>
          <w:i/>
          <w:iCs/>
        </w:rPr>
        <w:t>serious crimes may have on others.</w:t>
      </w:r>
    </w:p>
    <w:p w14:paraId="26EB1C84" w14:textId="1C4FEEA8" w:rsidR="00873D04" w:rsidRPr="00AA771D" w:rsidRDefault="00B30785" w:rsidP="001D69AF">
      <w:pPr>
        <w:pStyle w:val="Heading2"/>
        <w:numPr>
          <w:ilvl w:val="1"/>
          <w:numId w:val="1"/>
        </w:numPr>
        <w:ind w:left="720" w:hanging="720"/>
        <w:rPr>
          <w:szCs w:val="24"/>
        </w:rPr>
      </w:pPr>
      <w:r w:rsidRPr="002F2C1E">
        <w:t xml:space="preserve">There have been many cases </w:t>
      </w:r>
      <w:r w:rsidR="0095701B" w:rsidRPr="002F2C1E">
        <w:t xml:space="preserve">over the years </w:t>
      </w:r>
      <w:r w:rsidRPr="002F2C1E">
        <w:t xml:space="preserve">where the </w:t>
      </w:r>
      <w:r w:rsidR="0095701B" w:rsidRPr="002F2C1E">
        <w:t xml:space="preserve">courts have considered the lifting of reporting restrictions in respect of children and young people. The starting point must always be the open justice principle. Any restriction on the full contemporaneous reporting of court proceedings is exceptional and must be based on necessity. The burden is on the party seeking the restriction to establish necessity </w:t>
      </w:r>
      <w:proofErr w:type="gramStart"/>
      <w:r w:rsidR="0095701B" w:rsidRPr="002F2C1E">
        <w:t>on the basis of</w:t>
      </w:r>
      <w:proofErr w:type="gramEnd"/>
      <w:r w:rsidR="0095701B" w:rsidRPr="002F2C1E">
        <w:t xml:space="preserve"> clear evidence, and the terms of any order must be </w:t>
      </w:r>
      <w:r w:rsidR="0095701B" w:rsidRPr="00AA771D">
        <w:rPr>
          <w:szCs w:val="24"/>
        </w:rPr>
        <w:t xml:space="preserve">proportionate. </w:t>
      </w:r>
    </w:p>
    <w:p w14:paraId="4E1D7AD5" w14:textId="7689F209" w:rsidR="002F2C1E" w:rsidRPr="00AA771D" w:rsidRDefault="002F2C1E" w:rsidP="001D69AF">
      <w:pPr>
        <w:pStyle w:val="Heading2"/>
        <w:numPr>
          <w:ilvl w:val="1"/>
          <w:numId w:val="1"/>
        </w:numPr>
        <w:ind w:left="720" w:hanging="720"/>
        <w:rPr>
          <w:szCs w:val="24"/>
        </w:rPr>
      </w:pPr>
      <w:r w:rsidRPr="00AA771D">
        <w:rPr>
          <w:szCs w:val="24"/>
        </w:rPr>
        <w:t xml:space="preserve">In </w:t>
      </w:r>
      <w:r w:rsidRPr="00AA771D">
        <w:rPr>
          <w:szCs w:val="24"/>
          <w:u w:val="single"/>
        </w:rPr>
        <w:t>BSW v Birmingham Crown Court</w:t>
      </w:r>
      <w:r w:rsidRPr="00AA771D">
        <w:rPr>
          <w:szCs w:val="24"/>
        </w:rPr>
        <w:t xml:space="preserve"> </w:t>
      </w:r>
      <w:r w:rsidR="00AA771D" w:rsidRPr="00AA771D">
        <w:rPr>
          <w:i/>
          <w:iCs/>
          <w:color w:val="1F1F1F"/>
          <w:szCs w:val="24"/>
        </w:rPr>
        <w:t xml:space="preserve">[2024] EWHC 3307 </w:t>
      </w:r>
      <w:r w:rsidRPr="00AA771D">
        <w:rPr>
          <w:szCs w:val="24"/>
        </w:rPr>
        <w:t xml:space="preserve">Baker LJ reviewed </w:t>
      </w:r>
      <w:r w:rsidR="00AA771D">
        <w:rPr>
          <w:szCs w:val="24"/>
        </w:rPr>
        <w:t xml:space="preserve">the </w:t>
      </w:r>
      <w:r w:rsidRPr="00AA771D">
        <w:rPr>
          <w:szCs w:val="24"/>
        </w:rPr>
        <w:t xml:space="preserve">authorities and said as follows: </w:t>
      </w:r>
    </w:p>
    <w:p w14:paraId="6981D6C3" w14:textId="3992BC59" w:rsidR="002F2C1E" w:rsidRPr="002F2C1E" w:rsidRDefault="002F2C1E" w:rsidP="002F2C1E">
      <w:pPr>
        <w:pStyle w:val="Heading2"/>
        <w:ind w:left="720"/>
        <w:rPr>
          <w:i/>
          <w:iCs/>
        </w:rPr>
      </w:pPr>
      <w:r w:rsidRPr="00AA771D">
        <w:rPr>
          <w:i/>
          <w:iCs/>
          <w:szCs w:val="24"/>
        </w:rPr>
        <w:lastRenderedPageBreak/>
        <w:t>54.  In relation to the issue of press reporting</w:t>
      </w:r>
      <w:r w:rsidRPr="002F2C1E">
        <w:rPr>
          <w:i/>
          <w:iCs/>
        </w:rPr>
        <w:t xml:space="preserve"> of criminal trials, it has long been recognised that the principle of open justice is fundamental to the rule of law, the importance of which has been emphasised by the appellate courts in a number of cases, not least being</w:t>
      </w:r>
      <w:r w:rsidR="00AA771D">
        <w:rPr>
          <w:i/>
          <w:iCs/>
        </w:rPr>
        <w:t xml:space="preserve"> </w:t>
      </w:r>
      <w:r w:rsidRPr="00AA771D">
        <w:rPr>
          <w:i/>
          <w:iCs/>
          <w:u w:val="single"/>
        </w:rPr>
        <w:t>Re S (FC) (a child)</w:t>
      </w:r>
      <w:r w:rsidRPr="00AA771D">
        <w:rPr>
          <w:i/>
          <w:iCs/>
        </w:rPr>
        <w:t xml:space="preserve"> [2005] 1 AC 593 at [34] in which Lord Steyn stated that:</w:t>
      </w:r>
    </w:p>
    <w:p w14:paraId="3518F971" w14:textId="752CF099" w:rsidR="002F2C1E" w:rsidRPr="002F2C1E" w:rsidRDefault="002F2C1E" w:rsidP="002F2C1E">
      <w:pPr>
        <w:pStyle w:val="Heading2"/>
        <w:ind w:left="720"/>
        <w:rPr>
          <w:i/>
          <w:iCs/>
        </w:rPr>
      </w:pPr>
      <w:r>
        <w:rPr>
          <w:i/>
          <w:iCs/>
        </w:rPr>
        <w:t>“</w:t>
      </w:r>
      <w:r w:rsidRPr="002F2C1E">
        <w:rPr>
          <w:i/>
          <w:iCs/>
        </w:rPr>
        <w:t>…[I]t is important to bear in mind that from a newspaper’s point of view a report of a sensational trial without revealing the identity of the defendant would be a very much disembodied trial. If the newspapers choose not to contest such an injunction, they are less likely to give prominence to reports of the trial. Certainly, readers will be less interested and editors will act accordingly. Informed debate about criminal justice will suffer.”</w:t>
      </w:r>
    </w:p>
    <w:p w14:paraId="6C45AD4D" w14:textId="77777777" w:rsidR="002F2C1E" w:rsidRPr="002F2C1E" w:rsidRDefault="002F2C1E" w:rsidP="002F2C1E">
      <w:pPr>
        <w:pStyle w:val="Heading2"/>
        <w:ind w:left="720"/>
        <w:rPr>
          <w:i/>
          <w:iCs/>
        </w:rPr>
      </w:pPr>
      <w:r w:rsidRPr="002F2C1E">
        <w:rPr>
          <w:i/>
          <w:iCs/>
        </w:rPr>
        <w:t xml:space="preserve">55.  Moreover, in </w:t>
      </w:r>
      <w:r w:rsidRPr="00AA771D">
        <w:rPr>
          <w:i/>
          <w:iCs/>
          <w:u w:val="single"/>
        </w:rPr>
        <w:t>Re Trinity Mirror and others (A and another intervening</w:t>
      </w:r>
      <w:r w:rsidRPr="002F2C1E">
        <w:rPr>
          <w:i/>
          <w:iCs/>
        </w:rPr>
        <w:t xml:space="preserve">) </w:t>
      </w:r>
      <w:hyperlink r:id="rId7" w:history="1">
        <w:r w:rsidRPr="002F2C1E">
          <w:rPr>
            <w:i/>
            <w:iCs/>
          </w:rPr>
          <w:t>[2008] QB 770 at [32]</w:t>
        </w:r>
      </w:hyperlink>
      <w:r w:rsidRPr="002F2C1E">
        <w:rPr>
          <w:i/>
          <w:iCs/>
        </w:rPr>
        <w:t xml:space="preserve"> Sir Igor Judge stated that:</w:t>
      </w:r>
    </w:p>
    <w:p w14:paraId="76CC4E5E" w14:textId="001F7E0D" w:rsidR="002F2C1E" w:rsidRPr="002F2C1E" w:rsidRDefault="002F2C1E" w:rsidP="002F2C1E">
      <w:pPr>
        <w:pStyle w:val="Heading2"/>
        <w:ind w:left="720"/>
        <w:rPr>
          <w:i/>
          <w:iCs/>
        </w:rPr>
      </w:pPr>
      <w:r>
        <w:rPr>
          <w:i/>
          <w:iCs/>
        </w:rPr>
        <w:t>“</w:t>
      </w:r>
      <w:r w:rsidRPr="002F2C1E">
        <w:rPr>
          <w:i/>
          <w:iCs/>
        </w:rPr>
        <w:t>In our judgement, it is impossible to over emphasise the importance to be attached to the ability of the media to report criminal trials. In simple terms, this represents the embodiment of the principle of open justice in a free country… From time to time, occasions will arise when restrictions on this principle are considered appropriate, but they depend on express legislation and, where a court is vested with discretion to exercise such powers, on the absolute necessity of doing so in an individual case.”</w:t>
      </w:r>
    </w:p>
    <w:p w14:paraId="224B6615" w14:textId="32DE6413" w:rsidR="00AA771D" w:rsidRPr="00AA771D" w:rsidRDefault="00AA771D" w:rsidP="00AA771D">
      <w:pPr>
        <w:pStyle w:val="Heading2"/>
        <w:ind w:left="720"/>
        <w:rPr>
          <w:i/>
          <w:iCs/>
          <w:color w:val="000000" w:themeColor="text1"/>
          <w:szCs w:val="24"/>
        </w:rPr>
      </w:pPr>
      <w:r w:rsidRPr="00AA771D">
        <w:rPr>
          <w:i/>
          <w:iCs/>
          <w:color w:val="000000" w:themeColor="text1"/>
          <w:szCs w:val="24"/>
        </w:rPr>
        <w:t xml:space="preserve">However, where, as here, the interests of a child accused are concerned, not only is the court expressly obliged to have regard to their welfare under </w:t>
      </w:r>
      <w:hyperlink r:id="rId8" w:history="1">
        <w:r w:rsidRPr="00AA771D">
          <w:rPr>
            <w:i/>
            <w:iCs/>
            <w:color w:val="000000" w:themeColor="text1"/>
            <w:szCs w:val="24"/>
          </w:rPr>
          <w:t>section 45(6) of the 1999 Act</w:t>
        </w:r>
      </w:hyperlink>
      <w:r w:rsidRPr="00AA771D">
        <w:rPr>
          <w:i/>
          <w:iCs/>
          <w:color w:val="000000" w:themeColor="text1"/>
          <w:szCs w:val="24"/>
        </w:rPr>
        <w:t xml:space="preserve"> , but the jurisprudence requiring the best interests of the child to be a primary consideration, in accordance with Article 3 of the UN Convention on the Rights of a Child , applies, as does the individual’s right to privacy under </w:t>
      </w:r>
      <w:hyperlink r:id="rId9" w:history="1">
        <w:r w:rsidRPr="00AA771D">
          <w:rPr>
            <w:i/>
            <w:iCs/>
            <w:color w:val="000000" w:themeColor="text1"/>
            <w:szCs w:val="24"/>
          </w:rPr>
          <w:t>Article 8 ECHR</w:t>
        </w:r>
      </w:hyperlink>
      <w:r w:rsidRPr="00AA771D">
        <w:rPr>
          <w:i/>
          <w:iCs/>
          <w:color w:val="000000" w:themeColor="text1"/>
          <w:szCs w:val="24"/>
        </w:rPr>
        <w:t xml:space="preserve"> . In addition, the court must have regard to the principal aim of the youth justice system namely, to prevent offending by children and young persons as required by </w:t>
      </w:r>
      <w:hyperlink r:id="rId10" w:history="1">
        <w:r w:rsidRPr="00AA771D">
          <w:rPr>
            <w:i/>
            <w:iCs/>
            <w:color w:val="000000" w:themeColor="text1"/>
            <w:szCs w:val="24"/>
          </w:rPr>
          <w:t>section 37 of the Crime and Disorder Act 1998</w:t>
        </w:r>
      </w:hyperlink>
      <w:r w:rsidRPr="00AA771D">
        <w:rPr>
          <w:i/>
          <w:iCs/>
          <w:color w:val="000000" w:themeColor="text1"/>
          <w:szCs w:val="24"/>
        </w:rPr>
        <w:t xml:space="preserve"> .</w:t>
      </w:r>
    </w:p>
    <w:p w14:paraId="4E62D6C7" w14:textId="7679794C" w:rsidR="00AA771D" w:rsidRDefault="0095701B" w:rsidP="00AA771D">
      <w:pPr>
        <w:pStyle w:val="Heading2"/>
        <w:numPr>
          <w:ilvl w:val="1"/>
          <w:numId w:val="1"/>
        </w:numPr>
        <w:ind w:left="720" w:hanging="720"/>
      </w:pPr>
      <w:r>
        <w:t xml:space="preserve">In </w:t>
      </w:r>
      <w:r w:rsidRPr="00AA771D">
        <w:rPr>
          <w:u w:val="single"/>
        </w:rPr>
        <w:t xml:space="preserve">R v Legal Aid Board ex </w:t>
      </w:r>
      <w:proofErr w:type="spellStart"/>
      <w:r w:rsidRPr="00AA771D">
        <w:rPr>
          <w:u w:val="single"/>
        </w:rPr>
        <w:t>parte</w:t>
      </w:r>
      <w:proofErr w:type="spellEnd"/>
      <w:r w:rsidRPr="00AA771D">
        <w:rPr>
          <w:u w:val="single"/>
        </w:rPr>
        <w:t xml:space="preserve"> Kaim Todner (a firm)</w:t>
      </w:r>
      <w:r>
        <w:t xml:space="preserve"> </w:t>
      </w:r>
      <w:r w:rsidRPr="00AA771D">
        <w:rPr>
          <w:i/>
          <w:iCs/>
        </w:rPr>
        <w:t xml:space="preserve">[1999] QB 966 (at 977) </w:t>
      </w:r>
      <w:r>
        <w:t>Lord Woolf MR said:</w:t>
      </w:r>
    </w:p>
    <w:p w14:paraId="384B738E" w14:textId="38F8F10E" w:rsidR="0095701B" w:rsidRPr="00AA771D" w:rsidRDefault="0095701B" w:rsidP="00AA771D">
      <w:pPr>
        <w:pStyle w:val="Heading2"/>
        <w:ind w:left="720"/>
      </w:pPr>
      <w:r w:rsidRPr="00AA771D">
        <w:rPr>
          <w:i/>
          <w:iCs/>
          <w:szCs w:val="24"/>
        </w:rPr>
        <w:t>“…[I]t is so important not to forget why proceedings are required</w:t>
      </w:r>
      <w:r w:rsidR="003D37A3" w:rsidRPr="00AA771D">
        <w:rPr>
          <w:szCs w:val="24"/>
        </w:rPr>
        <w:t xml:space="preserve"> </w:t>
      </w:r>
      <w:r w:rsidRPr="00AA771D">
        <w:rPr>
          <w:i/>
          <w:iCs/>
          <w:szCs w:val="24"/>
        </w:rPr>
        <w:t>to be subjected to the full glare of a public hearing. It is necessary</w:t>
      </w:r>
      <w:r w:rsidR="003D37A3" w:rsidRPr="00AA771D">
        <w:rPr>
          <w:szCs w:val="24"/>
        </w:rPr>
        <w:t xml:space="preserve"> </w:t>
      </w:r>
      <w:r w:rsidRPr="00AA771D">
        <w:rPr>
          <w:i/>
          <w:iCs/>
          <w:szCs w:val="24"/>
        </w:rPr>
        <w:t>because the public nature of the proceedings deters inappropriate</w:t>
      </w:r>
      <w:r w:rsidR="003D37A3" w:rsidRPr="00AA771D">
        <w:rPr>
          <w:szCs w:val="24"/>
        </w:rPr>
        <w:t xml:space="preserve"> </w:t>
      </w:r>
      <w:r w:rsidRPr="00AA771D">
        <w:rPr>
          <w:i/>
          <w:iCs/>
          <w:szCs w:val="24"/>
        </w:rPr>
        <w:t>behaviour on the part of the court. It also maintains the public's</w:t>
      </w:r>
      <w:r w:rsidR="003D37A3" w:rsidRPr="00AA771D">
        <w:rPr>
          <w:szCs w:val="24"/>
        </w:rPr>
        <w:t xml:space="preserve"> </w:t>
      </w:r>
      <w:r w:rsidRPr="00AA771D">
        <w:rPr>
          <w:i/>
          <w:iCs/>
          <w:szCs w:val="24"/>
        </w:rPr>
        <w:t>confidence in the administration of justice. It enables the public to</w:t>
      </w:r>
      <w:r w:rsidR="003D37A3" w:rsidRPr="00AA771D">
        <w:rPr>
          <w:szCs w:val="24"/>
        </w:rPr>
        <w:t xml:space="preserve"> </w:t>
      </w:r>
      <w:r w:rsidRPr="00AA771D">
        <w:rPr>
          <w:i/>
          <w:iCs/>
          <w:szCs w:val="24"/>
        </w:rPr>
        <w:t>know that justice is being administered impartially. It can result in</w:t>
      </w:r>
      <w:r w:rsidR="003D37A3" w:rsidRPr="00AA771D">
        <w:rPr>
          <w:szCs w:val="24"/>
        </w:rPr>
        <w:t xml:space="preserve"> </w:t>
      </w:r>
      <w:r w:rsidRPr="00AA771D">
        <w:rPr>
          <w:i/>
          <w:iCs/>
          <w:szCs w:val="24"/>
        </w:rPr>
        <w:t>evidence becoming available which would not become available if</w:t>
      </w:r>
      <w:r w:rsidR="003D37A3" w:rsidRPr="00AA771D">
        <w:rPr>
          <w:szCs w:val="24"/>
        </w:rPr>
        <w:t xml:space="preserve"> </w:t>
      </w:r>
      <w:r w:rsidRPr="00AA771D">
        <w:rPr>
          <w:i/>
          <w:iCs/>
          <w:szCs w:val="24"/>
        </w:rPr>
        <w:t>the proceedings were conducted behind closed doors or with one</w:t>
      </w:r>
      <w:r w:rsidR="003D37A3" w:rsidRPr="00AA771D">
        <w:rPr>
          <w:szCs w:val="24"/>
        </w:rPr>
        <w:t xml:space="preserve"> </w:t>
      </w:r>
      <w:r w:rsidRPr="00AA771D">
        <w:rPr>
          <w:i/>
          <w:iCs/>
          <w:szCs w:val="24"/>
        </w:rPr>
        <w:t>or more of the parties' or witnesses' identity concealed. It makes</w:t>
      </w:r>
      <w:r w:rsidR="003D37A3" w:rsidRPr="00AA771D">
        <w:rPr>
          <w:szCs w:val="24"/>
        </w:rPr>
        <w:t xml:space="preserve"> </w:t>
      </w:r>
      <w:r w:rsidRPr="00AA771D">
        <w:rPr>
          <w:i/>
          <w:iCs/>
          <w:szCs w:val="24"/>
        </w:rPr>
        <w:t>uninformed and inaccurate comment about the proceedings less</w:t>
      </w:r>
      <w:r w:rsidR="003D37A3" w:rsidRPr="00AA771D">
        <w:rPr>
          <w:szCs w:val="24"/>
        </w:rPr>
        <w:t xml:space="preserve"> </w:t>
      </w:r>
      <w:r w:rsidRPr="00AA771D">
        <w:rPr>
          <w:i/>
          <w:iCs/>
          <w:szCs w:val="24"/>
        </w:rPr>
        <w:t>likely . . . Any interference with the public nature of court</w:t>
      </w:r>
      <w:r w:rsidR="003D37A3" w:rsidRPr="00AA771D">
        <w:rPr>
          <w:szCs w:val="24"/>
        </w:rPr>
        <w:t xml:space="preserve"> </w:t>
      </w:r>
      <w:r w:rsidRPr="00AA771D">
        <w:rPr>
          <w:i/>
          <w:iCs/>
          <w:szCs w:val="24"/>
        </w:rPr>
        <w:t>proceedings is therefore to be avoided unless justice requires it.</w:t>
      </w:r>
      <w:r w:rsidR="003D37A3" w:rsidRPr="00AA771D">
        <w:rPr>
          <w:szCs w:val="24"/>
        </w:rPr>
        <w:t>”</w:t>
      </w:r>
    </w:p>
    <w:p w14:paraId="6BA358D9" w14:textId="4E153E8E" w:rsidR="00C21CCF" w:rsidRDefault="00C21CCF" w:rsidP="001D69AF">
      <w:pPr>
        <w:pStyle w:val="Heading2"/>
        <w:numPr>
          <w:ilvl w:val="1"/>
          <w:numId w:val="1"/>
        </w:numPr>
        <w:ind w:left="720" w:hanging="720"/>
      </w:pPr>
      <w:r>
        <w:t xml:space="preserve">In </w:t>
      </w:r>
      <w:r w:rsidRPr="00AA771D">
        <w:rPr>
          <w:u w:val="single"/>
        </w:rPr>
        <w:t>R v KL</w:t>
      </w:r>
      <w:r>
        <w:t xml:space="preserve"> </w:t>
      </w:r>
      <w:r w:rsidRPr="00AA771D">
        <w:rPr>
          <w:i/>
          <w:iCs/>
        </w:rPr>
        <w:t>[2021] EWCA Crim 2000</w:t>
      </w:r>
      <w:r w:rsidR="00883620">
        <w:t xml:space="preserve"> the principles for the court to consider in the making of an excepting direction were set out as follows</w:t>
      </w:r>
      <w:r w:rsidR="001640AF">
        <w:t xml:space="preserve"> by Sharp LJ</w:t>
      </w:r>
      <w:r w:rsidR="00883620">
        <w:t>:</w:t>
      </w:r>
    </w:p>
    <w:p w14:paraId="5F1B7AD1" w14:textId="77777777" w:rsidR="00883620" w:rsidRPr="00883620" w:rsidRDefault="00883620" w:rsidP="00F32B75">
      <w:pPr>
        <w:pStyle w:val="Heading2"/>
        <w:ind w:left="720"/>
        <w:rPr>
          <w:i/>
          <w:iCs/>
        </w:rPr>
      </w:pPr>
      <w:r w:rsidRPr="00883620">
        <w:rPr>
          <w:i/>
          <w:iCs/>
        </w:rPr>
        <w:lastRenderedPageBreak/>
        <w:t>(1)  The general approach to be taken is that reports of proceedings in open court should not be restricted unless there are reasons to do so which outweigh the legitimate interests of the public in receiving fair and accurate reports of criminal proceedings and in knowing the identity of those in the community who have been guilty of criminal conduct. </w:t>
      </w:r>
    </w:p>
    <w:p w14:paraId="3C4381F6" w14:textId="77777777" w:rsidR="00883620" w:rsidRPr="00883620" w:rsidRDefault="00883620" w:rsidP="00F32B75">
      <w:pPr>
        <w:pStyle w:val="Heading2"/>
        <w:ind w:left="720"/>
        <w:rPr>
          <w:i/>
          <w:iCs/>
        </w:rPr>
      </w:pPr>
      <w:r w:rsidRPr="00883620">
        <w:rPr>
          <w:i/>
          <w:iCs/>
        </w:rPr>
        <w:t>(2)  The fact that the person before the court is a child or young person will normally be a good reason for restricting reports of the proceedings in the way permitted by the legislation; and it will only be in rare cases that a direction under </w:t>
      </w:r>
      <w:hyperlink r:id="rId11" w:history="1">
        <w:r w:rsidRPr="00883620">
          <w:rPr>
            <w:i/>
            <w:iCs/>
          </w:rPr>
          <w:t>section 45(3) of the 1999 Act</w:t>
        </w:r>
      </w:hyperlink>
      <w:r w:rsidRPr="00883620">
        <w:rPr>
          <w:i/>
          <w:iCs/>
        </w:rPr>
        <w:t> will not be given or, having been given, will be discharged. </w:t>
      </w:r>
    </w:p>
    <w:p w14:paraId="04DD92A3" w14:textId="77777777" w:rsidR="00883620" w:rsidRPr="00883620" w:rsidRDefault="00883620" w:rsidP="00F32B75">
      <w:pPr>
        <w:pStyle w:val="Heading2"/>
        <w:ind w:left="720"/>
        <w:rPr>
          <w:i/>
          <w:iCs/>
        </w:rPr>
      </w:pPr>
      <w:r w:rsidRPr="00883620">
        <w:rPr>
          <w:i/>
          <w:iCs/>
        </w:rPr>
        <w:t>(3)  The reason why removal of a restriction will be rare is the very great weight that the court must give to the welfare of a child or young person. In practical terms, this means that the power to dispense with anonymity must be exercised with "very great care, caution and circumspection". See the guidance given by Lord Bingham CJ in the context of the </w:t>
      </w:r>
      <w:hyperlink r:id="rId12" w:history="1">
        <w:r w:rsidRPr="00883620">
          <w:rPr>
            <w:i/>
            <w:iCs/>
          </w:rPr>
          <w:t>1933 Act</w:t>
        </w:r>
      </w:hyperlink>
      <w:r w:rsidRPr="00883620">
        <w:rPr>
          <w:i/>
          <w:iCs/>
        </w:rPr>
        <w:t> in </w:t>
      </w:r>
      <w:proofErr w:type="spellStart"/>
      <w:r w:rsidRPr="00883620">
        <w:rPr>
          <w:i/>
          <w:iCs/>
        </w:rPr>
        <w:fldChar w:fldCharType="begin"/>
      </w:r>
      <w:r w:rsidRPr="00883620">
        <w:rPr>
          <w:i/>
          <w:iCs/>
        </w:rPr>
        <w:instrText>HYPERLINK "https://uk.westlaw.com/Document/IF649F370E42711DA8FC2A0F0355337E9/View/FullText.html?originationContext=document&amp;transitionType=DocumentItem&amp;ppcid=0d8160309d7e4a57ac7138eeacf1c61e&amp;contextData=(sc.Search)"</w:instrText>
      </w:r>
      <w:r w:rsidRPr="00883620">
        <w:rPr>
          <w:i/>
          <w:iCs/>
        </w:rPr>
      </w:r>
      <w:r w:rsidRPr="00883620">
        <w:rPr>
          <w:i/>
          <w:iCs/>
        </w:rPr>
        <w:fldChar w:fldCharType="separate"/>
      </w:r>
      <w:r w:rsidRPr="00883620">
        <w:rPr>
          <w:i/>
          <w:iCs/>
        </w:rPr>
        <w:t>McKerry</w:t>
      </w:r>
      <w:proofErr w:type="spellEnd"/>
      <w:r w:rsidRPr="00883620">
        <w:rPr>
          <w:i/>
          <w:iCs/>
        </w:rPr>
        <w:t xml:space="preserve"> v. </w:t>
      </w:r>
      <w:proofErr w:type="spellStart"/>
      <w:r w:rsidRPr="00883620">
        <w:rPr>
          <w:i/>
          <w:iCs/>
        </w:rPr>
        <w:t>Teesdale</w:t>
      </w:r>
      <w:proofErr w:type="spellEnd"/>
      <w:r w:rsidRPr="00883620">
        <w:rPr>
          <w:i/>
          <w:iCs/>
        </w:rPr>
        <w:t xml:space="preserve"> and Wear Valley Justice (2000) 164 JP 355; [2001] EMLR 5 at para 19</w:t>
      </w:r>
      <w:r w:rsidRPr="00883620">
        <w:rPr>
          <w:i/>
          <w:iCs/>
        </w:rPr>
        <w:fldChar w:fldCharType="end"/>
      </w:r>
      <w:r w:rsidRPr="00883620">
        <w:rPr>
          <w:i/>
          <w:iCs/>
        </w:rPr>
        <w:t> . </w:t>
      </w:r>
    </w:p>
    <w:p w14:paraId="434F29A4" w14:textId="77777777" w:rsidR="00883620" w:rsidRPr="00883620" w:rsidRDefault="00883620" w:rsidP="00F32B75">
      <w:pPr>
        <w:pStyle w:val="Heading2"/>
        <w:ind w:left="720"/>
        <w:rPr>
          <w:i/>
          <w:iCs/>
        </w:rPr>
      </w:pPr>
      <w:r w:rsidRPr="00883620">
        <w:rPr>
          <w:i/>
          <w:iCs/>
        </w:rPr>
        <w:t>(4)  However, the welfare of the child or young person will not always trump other considerations. Even in the Youth Court, where the regime requires that proceedings should be held in private, with the public excluded, the court has power to lift restrictions. When a juvenile is tried on indictment in the Crown Court there is a strong presumption that justice takes place in open court and the press may report the proceedings. </w:t>
      </w:r>
    </w:p>
    <w:p w14:paraId="4EFD5BC8" w14:textId="77777777" w:rsidR="00883620" w:rsidRPr="00883620" w:rsidRDefault="00883620" w:rsidP="00F32B75">
      <w:pPr>
        <w:pStyle w:val="Heading2"/>
        <w:ind w:left="720"/>
        <w:rPr>
          <w:i/>
          <w:iCs/>
        </w:rPr>
      </w:pPr>
      <w:r w:rsidRPr="00883620">
        <w:rPr>
          <w:i/>
          <w:iCs/>
        </w:rPr>
        <w:t>(5)  The decision for the trial judge is a case specific and discretionary assessment where, guided by the above considerations, a balance falls to be struck between the interests of the child and the wider public interest in open justice and unrestricted reporting. </w:t>
      </w:r>
    </w:p>
    <w:p w14:paraId="68B6F460" w14:textId="77777777" w:rsidR="00883620" w:rsidRPr="00883620" w:rsidRDefault="00883620" w:rsidP="00F32B75">
      <w:pPr>
        <w:pStyle w:val="Heading2"/>
        <w:ind w:left="720"/>
        <w:rPr>
          <w:i/>
          <w:iCs/>
        </w:rPr>
      </w:pPr>
      <w:r w:rsidRPr="00883620">
        <w:rPr>
          <w:i/>
          <w:iCs/>
        </w:rPr>
        <w:t>(6)  When considering a challenge to an excepting direction made by the Crown Court by way of judicial review, the Divisional Court will "respect the trial judge's assessment of the weight to be given to particular factors, interfering only where an error of principle is identified, or the decision is plainly wrong": see </w:t>
      </w:r>
      <w:hyperlink r:id="rId13" w:history="1">
        <w:r w:rsidRPr="00883620">
          <w:rPr>
            <w:i/>
            <w:iCs/>
          </w:rPr>
          <w:t>Markham</w:t>
        </w:r>
      </w:hyperlink>
      <w:r w:rsidRPr="00883620">
        <w:rPr>
          <w:i/>
          <w:iCs/>
        </w:rPr>
        <w:t> at para 36. </w:t>
      </w:r>
    </w:p>
    <w:p w14:paraId="1FDA2235" w14:textId="0A21C3C5" w:rsidR="00883620" w:rsidRPr="00883620" w:rsidRDefault="00883620" w:rsidP="00F32B75">
      <w:pPr>
        <w:pStyle w:val="Heading2"/>
        <w:ind w:left="720"/>
        <w:rPr>
          <w:i/>
          <w:iCs/>
        </w:rPr>
      </w:pPr>
      <w:r w:rsidRPr="00883620">
        <w:rPr>
          <w:i/>
          <w:iCs/>
        </w:rPr>
        <w:t>(7)  To this standard public law approach must be added the conventional public law requirements that: (i) a fair process should be adopted by the judge in considering an application remove a restriction; and (ii) the judge should give reasons sufficient to explain why the balance has come down in favour of removal of the restriction. This latter point is particularly important because the judge's reasons are the only indicator that the parties (and a reviewing court) will have to satisfy themselves that the judge has indeed performed a lawful balancing exercise.</w:t>
      </w:r>
    </w:p>
    <w:p w14:paraId="2B78D1C9" w14:textId="05C90017" w:rsidR="00F32B75" w:rsidRDefault="00B1648A" w:rsidP="001D69AF">
      <w:pPr>
        <w:pStyle w:val="Heading2"/>
        <w:numPr>
          <w:ilvl w:val="1"/>
          <w:numId w:val="1"/>
        </w:numPr>
        <w:ind w:left="720" w:hanging="720"/>
      </w:pPr>
      <w:r>
        <w:t xml:space="preserve">In </w:t>
      </w:r>
      <w:r w:rsidR="0091188A" w:rsidRPr="00AA771D">
        <w:rPr>
          <w:u w:val="single"/>
        </w:rPr>
        <w:t>R v BGI and CMB</w:t>
      </w:r>
      <w:r w:rsidR="008C311A" w:rsidRPr="001D69AF">
        <w:t xml:space="preserve"> </w:t>
      </w:r>
      <w:r w:rsidR="008C311A" w:rsidRPr="00AA771D">
        <w:rPr>
          <w:i/>
          <w:iCs/>
        </w:rPr>
        <w:t>[2024] EWCR 5</w:t>
      </w:r>
      <w:r w:rsidR="008C311A" w:rsidRPr="008C311A">
        <w:t xml:space="preserve"> Tipples J</w:t>
      </w:r>
      <w:r w:rsidR="00F32B75">
        <w:t xml:space="preserve"> quoted the passage set out above and added the following: </w:t>
      </w:r>
    </w:p>
    <w:p w14:paraId="10B52FA6" w14:textId="69E8A032" w:rsidR="00F32B75" w:rsidRPr="00F32B75" w:rsidRDefault="00F32B75" w:rsidP="00F32B75">
      <w:pPr>
        <w:pStyle w:val="Heading2"/>
        <w:ind w:left="720"/>
        <w:rPr>
          <w:i/>
          <w:iCs/>
        </w:rPr>
      </w:pPr>
      <w:r w:rsidRPr="00F32B75">
        <w:rPr>
          <w:i/>
          <w:iCs/>
        </w:rPr>
        <w:t xml:space="preserve">42.  </w:t>
      </w:r>
      <w:r w:rsidR="000D27E5">
        <w:rPr>
          <w:i/>
          <w:iCs/>
        </w:rPr>
        <w:t xml:space="preserve">[…] </w:t>
      </w:r>
      <w:r w:rsidRPr="00F32B75">
        <w:rPr>
          <w:i/>
          <w:iCs/>
        </w:rPr>
        <w:t>the weight to be attributed to different factors may shift at different stages in the proceedings and</w:t>
      </w:r>
      <w:proofErr w:type="gramStart"/>
      <w:r w:rsidRPr="00F32B75">
        <w:rPr>
          <w:i/>
          <w:iCs/>
        </w:rPr>
        <w:t>, in particular, after</w:t>
      </w:r>
      <w:proofErr w:type="gramEnd"/>
      <w:r w:rsidRPr="00F32B75">
        <w:rPr>
          <w:i/>
          <w:iCs/>
        </w:rPr>
        <w:t xml:space="preserve"> a defendant has been found </w:t>
      </w:r>
      <w:r w:rsidRPr="00F32B75">
        <w:rPr>
          <w:i/>
          <w:iCs/>
        </w:rPr>
        <w:lastRenderedPageBreak/>
        <w:t xml:space="preserve">guilty and sentenced. </w:t>
      </w:r>
      <w:r w:rsidRPr="00AA771D">
        <w:rPr>
          <w:i/>
          <w:iCs/>
        </w:rPr>
        <w:t>In</w:t>
      </w:r>
      <w:r w:rsidR="00AA771D">
        <w:rPr>
          <w:i/>
          <w:iCs/>
        </w:rPr>
        <w:t xml:space="preserve"> </w:t>
      </w:r>
      <w:r w:rsidR="00AA771D" w:rsidRPr="00AA771D">
        <w:rPr>
          <w:i/>
          <w:iCs/>
          <w:u w:val="single"/>
        </w:rPr>
        <w:t>R v Winchester Crown Court</w:t>
      </w:r>
      <w:r w:rsidR="00AA771D">
        <w:rPr>
          <w:i/>
          <w:iCs/>
        </w:rPr>
        <w:t xml:space="preserve"> [1999] 1 WLR 788 at 790F</w:t>
      </w:r>
      <w:r w:rsidRPr="00AA771D">
        <w:rPr>
          <w:i/>
          <w:iCs/>
        </w:rPr>
        <w:t>, Simon Brown LJ</w:t>
      </w:r>
      <w:r w:rsidRPr="00F32B75">
        <w:rPr>
          <w:i/>
          <w:iCs/>
        </w:rPr>
        <w:t xml:space="preserve"> said that at that stage: "It may then be appropriate to place greater weight on the interests of the public in knowing the identity of those who have committed crimes, particularly serious and detestable crimes". A judge must nevertheless keep in mind that "the principal aim of the youth justice system is to prevent offending, and then, if the identity of the offender is made public, that may have a detrimental effect on his/her rehabilitation … which may in turn impede the effectiveness of that principal aim": see paragraphs 60 to 62 of Youth Defendants in the Crown Court . </w:t>
      </w:r>
    </w:p>
    <w:p w14:paraId="11F1B997" w14:textId="5C69688A" w:rsidR="00F32B75" w:rsidRPr="00F32B75" w:rsidRDefault="00F32B75" w:rsidP="00F32B75">
      <w:pPr>
        <w:pStyle w:val="Heading2"/>
        <w:ind w:left="720"/>
        <w:rPr>
          <w:i/>
          <w:iCs/>
        </w:rPr>
      </w:pPr>
      <w:r w:rsidRPr="00F32B75">
        <w:rPr>
          <w:i/>
          <w:iCs/>
        </w:rPr>
        <w:t xml:space="preserve">43.  </w:t>
      </w:r>
      <w:r w:rsidR="000D27E5">
        <w:rPr>
          <w:i/>
          <w:iCs/>
        </w:rPr>
        <w:t xml:space="preserve">[…] </w:t>
      </w:r>
      <w:r w:rsidRPr="00F32B75">
        <w:rPr>
          <w:i/>
          <w:iCs/>
        </w:rPr>
        <w:t>it is for the defendants to adduce "clear and cogent evidence" to demonstrate that the balance falls in favour of anonymity. Further, as Warby LJ explained in </w:t>
      </w:r>
      <w:r w:rsidRPr="00AA771D">
        <w:rPr>
          <w:i/>
          <w:iCs/>
          <w:u w:val="single"/>
        </w:rPr>
        <w:t>R (Marandi) v Westminster Magistrates' Court (British Broadcasting Corporation and others intervening)</w:t>
      </w:r>
      <w:r w:rsidRPr="00F32B75">
        <w:rPr>
          <w:i/>
          <w:iCs/>
        </w:rPr>
        <w:t> </w:t>
      </w:r>
      <w:hyperlink r:id="rId14" w:history="1">
        <w:r w:rsidRPr="00F32B75">
          <w:rPr>
            <w:i/>
            <w:iCs/>
          </w:rPr>
          <w:t>[2023] 2 Cr App R 15</w:t>
        </w:r>
      </w:hyperlink>
      <w:r w:rsidRPr="00F32B75">
        <w:rPr>
          <w:i/>
          <w:iCs/>
        </w:rPr>
        <w:t> , Div Ct at paragraph 43(6): "the cases all show that this question is not to be answered on the basis of "rival generalities" but instead by a close examination of the weight to be given to the specific rights that are a stake on the facts of the case. That is why "clear and cogent evidence" is needed". </w:t>
      </w:r>
    </w:p>
    <w:p w14:paraId="016997DF" w14:textId="57076E7E" w:rsidR="00F32B75" w:rsidRPr="00F32B75" w:rsidRDefault="00F32B75" w:rsidP="00F32B75">
      <w:pPr>
        <w:pStyle w:val="Heading2"/>
        <w:ind w:left="720"/>
        <w:rPr>
          <w:i/>
          <w:iCs/>
        </w:rPr>
      </w:pPr>
      <w:r w:rsidRPr="00F32B75">
        <w:rPr>
          <w:i/>
          <w:iCs/>
        </w:rPr>
        <w:t xml:space="preserve">44.  </w:t>
      </w:r>
      <w:r w:rsidR="000D27E5">
        <w:rPr>
          <w:i/>
          <w:iCs/>
        </w:rPr>
        <w:t xml:space="preserve">[…] </w:t>
      </w:r>
      <w:r w:rsidRPr="00F32B75">
        <w:rPr>
          <w:i/>
          <w:iCs/>
        </w:rPr>
        <w:t>a reporting restricting under </w:t>
      </w:r>
      <w:hyperlink r:id="rId15" w:history="1">
        <w:r w:rsidRPr="00F32B75">
          <w:rPr>
            <w:i/>
            <w:iCs/>
          </w:rPr>
          <w:t>section 45 of the 1999 Act</w:t>
        </w:r>
      </w:hyperlink>
      <w:r w:rsidRPr="00F32B75">
        <w:rPr>
          <w:i/>
          <w:iCs/>
        </w:rPr>
        <w:t xml:space="preserve"> ceases to have effect when the subject of the restriction reaches 18. The length of time before the child affected reaches 18 is a relevant consideration: see R v KL at [85]. </w:t>
      </w:r>
    </w:p>
    <w:p w14:paraId="6F0A8419" w14:textId="531F8D24" w:rsidR="00C21CCF" w:rsidRPr="005015C7" w:rsidRDefault="00C21CCF" w:rsidP="00C21CCF">
      <w:pPr>
        <w:pStyle w:val="Heading1"/>
        <w:rPr>
          <w:color w:val="auto"/>
        </w:rPr>
      </w:pPr>
      <w:r w:rsidRPr="005015C7">
        <w:rPr>
          <w:color w:val="auto"/>
        </w:rPr>
        <w:t>Consideration</w:t>
      </w:r>
    </w:p>
    <w:p w14:paraId="58BD178C" w14:textId="67903B06" w:rsidR="003078D3" w:rsidRDefault="006F152E" w:rsidP="001D69AF">
      <w:pPr>
        <w:pStyle w:val="Heading2"/>
        <w:numPr>
          <w:ilvl w:val="1"/>
          <w:numId w:val="1"/>
        </w:numPr>
        <w:ind w:left="720" w:hanging="720"/>
      </w:pPr>
      <w:r>
        <w:t xml:space="preserve">I apply the principles set out above to the present case. </w:t>
      </w:r>
    </w:p>
    <w:p w14:paraId="4CAA84FB" w14:textId="42598F73" w:rsidR="00BD2F64" w:rsidRDefault="006F152E" w:rsidP="001D69AF">
      <w:pPr>
        <w:pStyle w:val="Heading2"/>
        <w:numPr>
          <w:ilvl w:val="1"/>
          <w:numId w:val="1"/>
        </w:numPr>
        <w:ind w:left="720" w:hanging="720"/>
      </w:pPr>
      <w:r>
        <w:t>There has been a high level of public interest in cases of this sort which appear before the courts, both nationally and in the local area. Another case before this court, where the defendants are adults and therefore the issue of reporting restrictions did not arise, received considerable press attention and led to protests outside the town hall in Nuneaton on 9 August this year. This followed suggestions (</w:t>
      </w:r>
      <w:r w:rsidR="0043555F">
        <w:t xml:space="preserve">for </w:t>
      </w:r>
      <w:r>
        <w:t xml:space="preserve">which there appear to have been no foundation) that the police had “covered up” the immigration status of the defendants. (See </w:t>
      </w:r>
      <w:r w:rsidRPr="000D27E5">
        <w:rPr>
          <w:i/>
          <w:iCs/>
        </w:rPr>
        <w:t>“Police hit back at Reform claim of cover-up over rape suspects’ immigration status</w:t>
      </w:r>
      <w:r w:rsidR="00BD2F64" w:rsidRPr="000D27E5">
        <w:rPr>
          <w:i/>
          <w:iCs/>
        </w:rPr>
        <w:t>”.</w:t>
      </w:r>
      <w:r w:rsidR="00BD2F64">
        <w:t xml:space="preserve"> The Guardian, 6 August 2025</w:t>
      </w:r>
      <w:r w:rsidR="00387FF9">
        <w:t>)</w:t>
      </w:r>
      <w:r w:rsidR="00BD2F64">
        <w:t>.</w:t>
      </w:r>
    </w:p>
    <w:p w14:paraId="0D5652C6" w14:textId="77777777" w:rsidR="000D27E5" w:rsidRDefault="0043555F" w:rsidP="001D69AF">
      <w:pPr>
        <w:pStyle w:val="Heading2"/>
        <w:numPr>
          <w:ilvl w:val="1"/>
          <w:numId w:val="1"/>
        </w:numPr>
        <w:ind w:left="720" w:hanging="720"/>
      </w:pPr>
      <w:r>
        <w:t xml:space="preserve">This underlines the need for the public to be informed as fully as possible about crimes of this kind which are committed by people who are seeking asylum in this country. A lack of information stokes public anger and leads to the unchecked spread of false information. </w:t>
      </w:r>
    </w:p>
    <w:p w14:paraId="1D0EB137" w14:textId="5326AA0B" w:rsidR="001D69AF" w:rsidRDefault="0043555F" w:rsidP="001D69AF">
      <w:pPr>
        <w:pStyle w:val="Heading2"/>
        <w:numPr>
          <w:ilvl w:val="1"/>
          <w:numId w:val="1"/>
        </w:numPr>
        <w:ind w:left="720" w:hanging="720"/>
      </w:pPr>
      <w:r>
        <w:t xml:space="preserve">I do consider as part of the balancing exercise the fact that the protection of the identities of these young men may lead to other innocent people being suspected of committing this offence. </w:t>
      </w:r>
    </w:p>
    <w:p w14:paraId="0038C92B" w14:textId="27D20757" w:rsidR="001D69AF" w:rsidRDefault="00731B12" w:rsidP="001D69AF">
      <w:pPr>
        <w:pStyle w:val="Heading2"/>
        <w:numPr>
          <w:ilvl w:val="1"/>
          <w:numId w:val="1"/>
        </w:numPr>
        <w:ind w:left="720" w:hanging="720"/>
      </w:pPr>
      <w:r>
        <w:t xml:space="preserve">I am required to balance the principle of open justice, and the right of the public to be informed, with the protection of the two young offenders. </w:t>
      </w:r>
      <w:r w:rsidR="0008393C">
        <w:t>The removal of a restriction will be rare given “</w:t>
      </w:r>
      <w:r w:rsidR="0008393C" w:rsidRPr="001D69AF">
        <w:rPr>
          <w:i/>
          <w:iCs/>
        </w:rPr>
        <w:t xml:space="preserve">the very great weight that the court must give to the welfare of a child or young person”. </w:t>
      </w:r>
      <w:r w:rsidR="0008393C">
        <w:t xml:space="preserve">I must approach applications for </w:t>
      </w:r>
      <w:r w:rsidR="0008393C">
        <w:lastRenderedPageBreak/>
        <w:t>removal of restrictions with “</w:t>
      </w:r>
      <w:r w:rsidR="0008393C" w:rsidRPr="001D69AF">
        <w:rPr>
          <w:i/>
          <w:iCs/>
        </w:rPr>
        <w:t xml:space="preserve">very great care, caution and circumspection”. </w:t>
      </w:r>
      <w:r w:rsidR="000D27E5">
        <w:t xml:space="preserve">(See </w:t>
      </w:r>
      <w:r w:rsidR="000D27E5">
        <w:rPr>
          <w:u w:val="single"/>
        </w:rPr>
        <w:t>R v KL</w:t>
      </w:r>
      <w:r w:rsidR="000D27E5">
        <w:t>, quoted above).</w:t>
      </w:r>
    </w:p>
    <w:p w14:paraId="21A4FA85" w14:textId="5CBD39AB" w:rsidR="001D69AF" w:rsidRDefault="0008393C" w:rsidP="001D69AF">
      <w:pPr>
        <w:pStyle w:val="Heading2"/>
        <w:numPr>
          <w:ilvl w:val="1"/>
          <w:numId w:val="1"/>
        </w:numPr>
        <w:ind w:left="720" w:hanging="720"/>
      </w:pPr>
      <w:r>
        <w:t>When children are tried on indictment in the Crown Court, there is “</w:t>
      </w:r>
      <w:r w:rsidRPr="00AA771D">
        <w:rPr>
          <w:i/>
          <w:iCs/>
        </w:rPr>
        <w:t>a strong presumption that justice takes place in open court and the press may report the proceedings</w:t>
      </w:r>
      <w:r w:rsidR="00AA771D">
        <w:rPr>
          <w:i/>
          <w:iCs/>
        </w:rPr>
        <w:t>.</w:t>
      </w:r>
      <w:r w:rsidRPr="00AA771D">
        <w:rPr>
          <w:i/>
          <w:iCs/>
        </w:rPr>
        <w:t xml:space="preserve">” </w:t>
      </w:r>
      <w:r w:rsidR="000D27E5">
        <w:t>(</w:t>
      </w:r>
      <w:r w:rsidR="000D27E5">
        <w:rPr>
          <w:u w:val="single"/>
        </w:rPr>
        <w:t xml:space="preserve">R v </w:t>
      </w:r>
      <w:r w:rsidR="000D27E5" w:rsidRPr="00710E2D">
        <w:rPr>
          <w:u w:val="single"/>
        </w:rPr>
        <w:t>KL</w:t>
      </w:r>
      <w:r w:rsidR="000D27E5">
        <w:t xml:space="preserve">). </w:t>
      </w:r>
      <w:r w:rsidRPr="000D27E5">
        <w:t>These</w:t>
      </w:r>
      <w:r>
        <w:t xml:space="preserve"> two defendants were in fact tried in the Youth Court and sent to this court for sentence. I consider the decision to keep the trial in the Youth Court surprising given the gravity of these offences. Be that as it may, the defendants are now in the Crown Court for sentence and this presumption applies </w:t>
      </w:r>
      <w:r w:rsidR="00AA771D">
        <w:t xml:space="preserve">even though </w:t>
      </w:r>
      <w:r>
        <w:t xml:space="preserve">they were not tried on indictment. </w:t>
      </w:r>
    </w:p>
    <w:p w14:paraId="3B1E4A24" w14:textId="77777777" w:rsidR="000D27E5" w:rsidRDefault="0043555F" w:rsidP="001D69AF">
      <w:pPr>
        <w:pStyle w:val="Heading2"/>
        <w:numPr>
          <w:ilvl w:val="1"/>
          <w:numId w:val="1"/>
        </w:numPr>
        <w:ind w:left="720" w:hanging="720"/>
      </w:pPr>
      <w:r>
        <w:t xml:space="preserve">The defendants were convicted of this offence by their own pleas. The result of the conviction is to shift the balance in favour of publication. </w:t>
      </w:r>
    </w:p>
    <w:p w14:paraId="5A57CDD8" w14:textId="43DA88E1" w:rsidR="001D69AF" w:rsidRDefault="00D2427E" w:rsidP="001D69AF">
      <w:pPr>
        <w:pStyle w:val="Heading2"/>
        <w:numPr>
          <w:ilvl w:val="1"/>
          <w:numId w:val="1"/>
        </w:numPr>
        <w:ind w:left="720" w:hanging="720"/>
      </w:pPr>
      <w:r w:rsidRPr="00D2427E">
        <w:t xml:space="preserve">I am careful to keep in mind that the principal aim of the youth justice system is to prevent offending, and </w:t>
      </w:r>
      <w:r w:rsidR="00710E2D">
        <w:t xml:space="preserve">I note </w:t>
      </w:r>
      <w:r w:rsidRPr="00D2427E">
        <w:t xml:space="preserve">that the naming of an offender may have a detrimental effect on his rehabilitation. </w:t>
      </w:r>
    </w:p>
    <w:p w14:paraId="46D0C859" w14:textId="01489C4A" w:rsidR="001D69AF" w:rsidRDefault="00731B12" w:rsidP="001D69AF">
      <w:pPr>
        <w:pStyle w:val="Heading2"/>
        <w:numPr>
          <w:ilvl w:val="1"/>
          <w:numId w:val="1"/>
        </w:numPr>
        <w:ind w:left="720" w:hanging="720"/>
      </w:pPr>
      <w:r>
        <w:t xml:space="preserve">I am required to consider the length of time until these defendants reach their majority. </w:t>
      </w:r>
      <w:r w:rsidR="006F152E">
        <w:t xml:space="preserve">This is a case where the two young defendants are 17 years old. </w:t>
      </w:r>
      <w:r w:rsidR="00BD2F64">
        <w:t xml:space="preserve">JHE will turn 18 in just over three </w:t>
      </w:r>
      <w:r w:rsidR="000D27E5">
        <w:t>weeks’ time</w:t>
      </w:r>
      <w:r w:rsidR="00BD2F64">
        <w:t xml:space="preserve"> on 1 January 2026; AXD will turn 18 on 22 October 2026. </w:t>
      </w:r>
    </w:p>
    <w:p w14:paraId="433CFDB4" w14:textId="126E8D23" w:rsidR="001D69AF" w:rsidRDefault="00BD2F64" w:rsidP="001D69AF">
      <w:pPr>
        <w:pStyle w:val="Heading2"/>
        <w:numPr>
          <w:ilvl w:val="1"/>
          <w:numId w:val="1"/>
        </w:numPr>
        <w:ind w:left="720" w:hanging="720"/>
      </w:pPr>
      <w:r>
        <w:t>The</w:t>
      </w:r>
      <w:r w:rsidR="00AA771D">
        <w:t>se</w:t>
      </w:r>
      <w:r>
        <w:t xml:space="preserve"> offences will attract very substantial custodial sentences of even for offenders who were 16 and 17 at the time</w:t>
      </w:r>
      <w:r w:rsidR="000D27E5">
        <w:t xml:space="preserve"> of the offending.</w:t>
      </w:r>
      <w:r>
        <w:t xml:space="preserve"> </w:t>
      </w:r>
      <w:r w:rsidR="000D27E5">
        <w:t>Both these young defendants</w:t>
      </w:r>
      <w:r w:rsidR="0043555F">
        <w:t xml:space="preserve"> will be in detention for a very long time, and considerably beyond their attainment of their majority. The</w:t>
      </w:r>
      <w:r w:rsidR="00AA771D">
        <w:t>ir</w:t>
      </w:r>
      <w:r w:rsidR="0043555F">
        <w:t xml:space="preserve"> names will cease to be protected shortly, and in the case of JHE very shortly, after the start of their sentences. </w:t>
      </w:r>
    </w:p>
    <w:p w14:paraId="64F1B425" w14:textId="5563353A" w:rsidR="009C0C90" w:rsidRDefault="009C0C90" w:rsidP="001D69AF">
      <w:pPr>
        <w:pStyle w:val="Heading2"/>
        <w:numPr>
          <w:ilvl w:val="1"/>
          <w:numId w:val="1"/>
        </w:numPr>
        <w:ind w:left="720" w:hanging="720"/>
      </w:pPr>
      <w:r>
        <w:t xml:space="preserve">I note the defence representations </w:t>
      </w:r>
      <w:proofErr w:type="gramStart"/>
      <w:r>
        <w:t>with regard to</w:t>
      </w:r>
      <w:proofErr w:type="gramEnd"/>
      <w:r>
        <w:t xml:space="preserve"> the Article 2 rights of the defendants. It is of course </w:t>
      </w:r>
      <w:r w:rsidR="00710E2D">
        <w:t xml:space="preserve">correct </w:t>
      </w:r>
      <w:r>
        <w:t xml:space="preserve">that the knowledge that </w:t>
      </w:r>
      <w:r w:rsidR="00710E2D">
        <w:t xml:space="preserve">the defendants have committed </w:t>
      </w:r>
      <w:r>
        <w:t>offences of this sort raises the possibility that they will be targeted in the prison estate. However, given that their identities w</w:t>
      </w:r>
      <w:r w:rsidR="00710E2D">
        <w:t>ould</w:t>
      </w:r>
      <w:r>
        <w:t xml:space="preserve"> </w:t>
      </w:r>
      <w:r w:rsidR="00710E2D">
        <w:t xml:space="preserve">in any event </w:t>
      </w:r>
      <w:r>
        <w:t>very soon cease to be protected</w:t>
      </w:r>
      <w:r w:rsidR="00710E2D">
        <w:t xml:space="preserve"> when they turn 18</w:t>
      </w:r>
      <w:r>
        <w:t xml:space="preserve">, the prison authorities will have to consider how best to ensure their safety, and will I have no doubt </w:t>
      </w:r>
      <w:r w:rsidR="00710E2D">
        <w:t xml:space="preserve">consider </w:t>
      </w:r>
      <w:r>
        <w:t>arrangements for segregation</w:t>
      </w:r>
      <w:r w:rsidR="00710E2D">
        <w:t xml:space="preserve"> to minimise the risk of harm. </w:t>
      </w:r>
    </w:p>
    <w:p w14:paraId="6139778D" w14:textId="19465AD9" w:rsidR="001D69AF" w:rsidRDefault="00D440F0" w:rsidP="001D69AF">
      <w:pPr>
        <w:pStyle w:val="Heading2"/>
        <w:numPr>
          <w:ilvl w:val="1"/>
          <w:numId w:val="1"/>
        </w:numPr>
        <w:ind w:left="720" w:hanging="720"/>
      </w:pPr>
      <w:r>
        <w:t xml:space="preserve">The </w:t>
      </w:r>
      <w:r w:rsidR="00710E2D">
        <w:t xml:space="preserve">continued protection of the identities </w:t>
      </w:r>
      <w:r>
        <w:t xml:space="preserve">of the defendants will have the following </w:t>
      </w:r>
      <w:r w:rsidR="000B632A">
        <w:t xml:space="preserve">immediate </w:t>
      </w:r>
      <w:r>
        <w:t>effects on their welfare:</w:t>
      </w:r>
    </w:p>
    <w:p w14:paraId="29D83934" w14:textId="2202CDAA" w:rsidR="001D69AF" w:rsidRDefault="00D440F0" w:rsidP="001D69AF">
      <w:pPr>
        <w:pStyle w:val="Heading2"/>
        <w:numPr>
          <w:ilvl w:val="0"/>
          <w:numId w:val="22"/>
        </w:numPr>
      </w:pPr>
      <w:r>
        <w:t xml:space="preserve">In the case of JHE, it would afford him a further 3 weeks before his identity was known publicly. It would allow him to settle </w:t>
      </w:r>
      <w:r w:rsidR="00710E2D">
        <w:t>into</w:t>
      </w:r>
      <w:r>
        <w:t xml:space="preserve"> his </w:t>
      </w:r>
      <w:r w:rsidR="000D27E5">
        <w:t>custodial setting</w:t>
      </w:r>
      <w:r>
        <w:t xml:space="preserve"> before being subject to the opprobrium attaching to this offending. </w:t>
      </w:r>
    </w:p>
    <w:p w14:paraId="4C528A4E" w14:textId="77777777" w:rsidR="00710E2D" w:rsidRDefault="00D440F0" w:rsidP="00710E2D">
      <w:pPr>
        <w:pStyle w:val="Heading2"/>
        <w:numPr>
          <w:ilvl w:val="0"/>
          <w:numId w:val="22"/>
        </w:numPr>
      </w:pPr>
      <w:r>
        <w:t xml:space="preserve">In the case of AXD, there is more of a balance to be struck. If the exception direction is not made, he will have another 10 months in detention before his identity is widely known. </w:t>
      </w:r>
    </w:p>
    <w:p w14:paraId="3E8B2AE6" w14:textId="4A8E334A" w:rsidR="001D69AF" w:rsidRDefault="00710E2D" w:rsidP="00710E2D">
      <w:pPr>
        <w:pStyle w:val="Heading2"/>
        <w:numPr>
          <w:ilvl w:val="0"/>
          <w:numId w:val="22"/>
        </w:numPr>
      </w:pPr>
      <w:r>
        <w:lastRenderedPageBreak/>
        <w:t>Counsel for the d</w:t>
      </w:r>
      <w:r w:rsidR="000B632A">
        <w:t xml:space="preserve">efence argue that if their names are not published </w:t>
      </w:r>
      <w:r w:rsidR="00AB359C">
        <w:t>at the time</w:t>
      </w:r>
      <w:r w:rsidR="000B632A">
        <w:t xml:space="preserve"> the offences </w:t>
      </w:r>
      <w:r w:rsidR="0043215F">
        <w:t>a</w:t>
      </w:r>
      <w:r w:rsidR="000B632A">
        <w:t>re reported,</w:t>
      </w:r>
      <w:r w:rsidR="00AB359C">
        <w:t xml:space="preserve"> interest will move on</w:t>
      </w:r>
      <w:r w:rsidR="0043215F">
        <w:t>,</w:t>
      </w:r>
      <w:r w:rsidR="00AB359C">
        <w:t xml:space="preserve"> and </w:t>
      </w:r>
      <w:r w:rsidR="000B632A">
        <w:t>they will not be the subject of such widespread media attention.</w:t>
      </w:r>
    </w:p>
    <w:p w14:paraId="351FF7F8" w14:textId="141CA0F7" w:rsidR="000B632A" w:rsidRPr="005015C7" w:rsidRDefault="000B632A" w:rsidP="000B632A">
      <w:pPr>
        <w:pStyle w:val="Heading1"/>
        <w:numPr>
          <w:ilvl w:val="0"/>
          <w:numId w:val="1"/>
        </w:numPr>
        <w:rPr>
          <w:color w:val="auto"/>
        </w:rPr>
      </w:pPr>
      <w:r w:rsidRPr="005015C7">
        <w:rPr>
          <w:color w:val="auto"/>
        </w:rPr>
        <w:t>Decision</w:t>
      </w:r>
    </w:p>
    <w:p w14:paraId="4CBACC80" w14:textId="77777777" w:rsidR="00710E2D" w:rsidRDefault="00710E2D" w:rsidP="00710E2D">
      <w:pPr>
        <w:pStyle w:val="Heading2"/>
        <w:numPr>
          <w:ilvl w:val="1"/>
          <w:numId w:val="1"/>
        </w:numPr>
        <w:ind w:left="720" w:hanging="720"/>
      </w:pPr>
      <w:r>
        <w:t xml:space="preserve">I set these asserted benefits for the defendants, against the public interest in knowing the identity of the people who committed this offence. </w:t>
      </w:r>
    </w:p>
    <w:p w14:paraId="72938451" w14:textId="5E663684" w:rsidR="00261629" w:rsidRDefault="000B632A" w:rsidP="000B632A">
      <w:pPr>
        <w:pStyle w:val="Heading2"/>
        <w:numPr>
          <w:ilvl w:val="1"/>
          <w:numId w:val="1"/>
        </w:numPr>
        <w:ind w:left="720" w:hanging="720"/>
      </w:pPr>
      <w:r>
        <w:t xml:space="preserve">In considering where the balance falls I </w:t>
      </w:r>
      <w:proofErr w:type="gramStart"/>
      <w:r>
        <w:t>take into account</w:t>
      </w:r>
      <w:proofErr w:type="gramEnd"/>
      <w:r>
        <w:t xml:space="preserve"> the </w:t>
      </w:r>
      <w:r w:rsidR="00261629">
        <w:t>following matters</w:t>
      </w:r>
      <w:r>
        <w:t>:</w:t>
      </w:r>
    </w:p>
    <w:p w14:paraId="0729FF66" w14:textId="2D2430FD" w:rsidR="00261629" w:rsidRDefault="00D440F0" w:rsidP="00674B12">
      <w:pPr>
        <w:pStyle w:val="Heading2"/>
        <w:numPr>
          <w:ilvl w:val="0"/>
          <w:numId w:val="22"/>
        </w:numPr>
      </w:pPr>
      <w:r>
        <w:t>the limited time until these defendants reach the age of 18, at which point their identities would no longer be protected</w:t>
      </w:r>
      <w:r w:rsidR="000B632A">
        <w:t>;</w:t>
      </w:r>
    </w:p>
    <w:p w14:paraId="7EB64D27" w14:textId="184BFCA9" w:rsidR="00261629" w:rsidRDefault="0011636E" w:rsidP="00674B12">
      <w:pPr>
        <w:pStyle w:val="Heading2"/>
        <w:numPr>
          <w:ilvl w:val="0"/>
          <w:numId w:val="22"/>
        </w:numPr>
      </w:pPr>
      <w:r>
        <w:t>the fact that they will be in</w:t>
      </w:r>
      <w:r w:rsidR="00261629">
        <w:t xml:space="preserve"> cus</w:t>
      </w:r>
      <w:r>
        <w:t>tody for a long period of time</w:t>
      </w:r>
      <w:r w:rsidR="000B632A">
        <w:t>, and well beyond their 18</w:t>
      </w:r>
      <w:r w:rsidR="000B632A" w:rsidRPr="000B632A">
        <w:rPr>
          <w:vertAlign w:val="superscript"/>
        </w:rPr>
        <w:t>th</w:t>
      </w:r>
      <w:r w:rsidR="000B632A">
        <w:t xml:space="preserve"> birthdays; </w:t>
      </w:r>
    </w:p>
    <w:p w14:paraId="0275B526" w14:textId="5B1E49FB" w:rsidR="00261629" w:rsidRDefault="00261629" w:rsidP="00674B12">
      <w:pPr>
        <w:pStyle w:val="Heading2"/>
        <w:numPr>
          <w:ilvl w:val="0"/>
          <w:numId w:val="22"/>
        </w:numPr>
      </w:pPr>
      <w:r>
        <w:t xml:space="preserve">the fact that if their identities are not published this </w:t>
      </w:r>
      <w:proofErr w:type="gramStart"/>
      <w:r>
        <w:t>in itself may</w:t>
      </w:r>
      <w:proofErr w:type="gramEnd"/>
      <w:r>
        <w:t xml:space="preserve"> inflame public debate and lead among other </w:t>
      </w:r>
      <w:r w:rsidR="000B632A">
        <w:t>things</w:t>
      </w:r>
      <w:r>
        <w:t xml:space="preserve"> to innocent people being targeted</w:t>
      </w:r>
      <w:r w:rsidR="000B632A">
        <w:t>;</w:t>
      </w:r>
    </w:p>
    <w:p w14:paraId="0C6D0DB5" w14:textId="76CF9820" w:rsidR="00261629" w:rsidRDefault="00A25AEE" w:rsidP="00674B12">
      <w:pPr>
        <w:pStyle w:val="Heading2"/>
        <w:numPr>
          <w:ilvl w:val="0"/>
          <w:numId w:val="22"/>
        </w:numPr>
      </w:pPr>
      <w:r>
        <w:t>t</w:t>
      </w:r>
      <w:r w:rsidR="00261629">
        <w:t>he seriousness of the offence</w:t>
      </w:r>
      <w:r>
        <w:t>s</w:t>
      </w:r>
      <w:r w:rsidR="000B632A">
        <w:t>;</w:t>
      </w:r>
    </w:p>
    <w:p w14:paraId="345E1525" w14:textId="318EA2BE" w:rsidR="00261629" w:rsidRDefault="00A25AEE" w:rsidP="00674B12">
      <w:pPr>
        <w:pStyle w:val="Heading2"/>
        <w:numPr>
          <w:ilvl w:val="0"/>
          <w:numId w:val="22"/>
        </w:numPr>
      </w:pPr>
      <w:r>
        <w:t>t</w:t>
      </w:r>
      <w:r w:rsidR="00261629">
        <w:t xml:space="preserve">he fact the defendants have </w:t>
      </w:r>
      <w:r w:rsidR="000B632A">
        <w:t xml:space="preserve">now pleaded guilty, which means the balance has shifted in favour of publication; and </w:t>
      </w:r>
    </w:p>
    <w:p w14:paraId="603E25FC" w14:textId="6015B0E2" w:rsidR="00DD0566" w:rsidRDefault="00A25AEE" w:rsidP="00674B12">
      <w:pPr>
        <w:pStyle w:val="Heading2"/>
        <w:numPr>
          <w:ilvl w:val="0"/>
          <w:numId w:val="22"/>
        </w:numPr>
      </w:pPr>
      <w:r>
        <w:t>t</w:t>
      </w:r>
      <w:r w:rsidR="00D440F0">
        <w:t>he high leve</w:t>
      </w:r>
      <w:r w:rsidR="00FF3772">
        <w:t>l of public interest in</w:t>
      </w:r>
      <w:r w:rsidR="00261629">
        <w:t xml:space="preserve"> offences of this kind</w:t>
      </w:r>
      <w:r w:rsidR="0043215F">
        <w:t>, and the desirability of informed debate</w:t>
      </w:r>
      <w:r>
        <w:t>.</w:t>
      </w:r>
    </w:p>
    <w:p w14:paraId="565F06D1" w14:textId="1443944E" w:rsidR="000B632A" w:rsidRDefault="000B632A" w:rsidP="000B632A">
      <w:pPr>
        <w:pStyle w:val="Heading2"/>
        <w:numPr>
          <w:ilvl w:val="1"/>
          <w:numId w:val="1"/>
        </w:numPr>
        <w:ind w:left="720" w:hanging="720"/>
      </w:pPr>
      <w:r>
        <w:t xml:space="preserve">Considering </w:t>
      </w:r>
      <w:r w:rsidR="0043215F">
        <w:t xml:space="preserve">all </w:t>
      </w:r>
      <w:r>
        <w:t xml:space="preserve">these matters, it is my assessment that the balance now falls firmly in favour of open justice. The limited remaining benefits to the defendants of a short further period of anonymity are outweighed by the substantial public interest in knowing the identities of those who commit crimes of this gravity. </w:t>
      </w:r>
    </w:p>
    <w:p w14:paraId="3C1F422F" w14:textId="02C021F5" w:rsidR="00D440F0" w:rsidRDefault="000B632A" w:rsidP="000B632A">
      <w:pPr>
        <w:pStyle w:val="Heading2"/>
        <w:numPr>
          <w:ilvl w:val="1"/>
          <w:numId w:val="1"/>
        </w:numPr>
        <w:ind w:left="720" w:hanging="720"/>
      </w:pPr>
      <w:r>
        <w:t>I</w:t>
      </w:r>
      <w:r w:rsidR="00FF3772">
        <w:t xml:space="preserve">n my judgment </w:t>
      </w:r>
      <w:r>
        <w:t xml:space="preserve">it is </w:t>
      </w:r>
      <w:r w:rsidR="00B06A13">
        <w:t xml:space="preserve">therefore </w:t>
      </w:r>
      <w:r w:rsidR="00FF3772">
        <w:t>right that I should make an exception direction in this case</w:t>
      </w:r>
      <w:r>
        <w:t xml:space="preserve"> under </w:t>
      </w:r>
      <w:r w:rsidRPr="008C311A">
        <w:t>S45</w:t>
      </w:r>
      <w:r>
        <w:t>(4)</w:t>
      </w:r>
      <w:r w:rsidRPr="008C311A">
        <w:t xml:space="preserve"> of the YJCEA 1999</w:t>
      </w:r>
      <w:r>
        <w:t>.</w:t>
      </w:r>
    </w:p>
    <w:p w14:paraId="4E6B8170" w14:textId="11C234FF" w:rsidR="0043215F" w:rsidRPr="00B06A13" w:rsidRDefault="001640AF" w:rsidP="00B06A13">
      <w:pPr>
        <w:pStyle w:val="Heading2"/>
        <w:numPr>
          <w:ilvl w:val="1"/>
          <w:numId w:val="1"/>
        </w:numPr>
        <w:ind w:left="720" w:hanging="720"/>
      </w:pPr>
      <w:r>
        <w:t>The press may report the name</w:t>
      </w:r>
      <w:r w:rsidR="000B632A">
        <w:t>s</w:t>
      </w:r>
      <w:r>
        <w:t xml:space="preserve"> and the identities of these two defendants. </w:t>
      </w:r>
    </w:p>
    <w:p w14:paraId="5DA76E60" w14:textId="77777777" w:rsidR="00B06A13" w:rsidRDefault="00B06A13" w:rsidP="007B4F6D">
      <w:pPr>
        <w:pStyle w:val="Heading2"/>
        <w:ind w:left="3600" w:firstLine="720"/>
        <w:rPr>
          <w:b/>
          <w:bCs/>
          <w:color w:val="000000"/>
          <w:szCs w:val="24"/>
        </w:rPr>
      </w:pPr>
    </w:p>
    <w:p w14:paraId="7086B9E3" w14:textId="29D4A414" w:rsidR="00471382" w:rsidRDefault="00471382" w:rsidP="007B4F6D">
      <w:pPr>
        <w:pStyle w:val="Heading2"/>
        <w:ind w:left="3600" w:firstLine="720"/>
        <w:rPr>
          <w:b/>
          <w:bCs/>
          <w:color w:val="000000"/>
          <w:szCs w:val="24"/>
        </w:rPr>
      </w:pPr>
      <w:r w:rsidRPr="007B4F6D">
        <w:rPr>
          <w:b/>
          <w:bCs/>
          <w:color w:val="000000"/>
          <w:szCs w:val="24"/>
        </w:rPr>
        <w:t>Her Honour Judge de Bertodano</w:t>
      </w:r>
    </w:p>
    <w:p w14:paraId="0398100B" w14:textId="6277D288" w:rsidR="00DD576A" w:rsidRDefault="00163AAE" w:rsidP="00163AAE">
      <w:pPr>
        <w:pStyle w:val="Heading2"/>
        <w:rPr>
          <w:b/>
          <w:bCs/>
          <w:color w:val="000000"/>
          <w:szCs w:val="24"/>
        </w:rPr>
      </w:pP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t>8 December 2025</w:t>
      </w:r>
    </w:p>
    <w:p w14:paraId="16277F7C" w14:textId="350C50E3" w:rsidR="00DD576A" w:rsidRPr="00643161" w:rsidRDefault="00DD576A" w:rsidP="00643161">
      <w:pPr>
        <w:pStyle w:val="Heading2"/>
        <w:ind w:left="720"/>
        <w:rPr>
          <w:b/>
          <w:bCs/>
          <w:i/>
          <w:iCs/>
          <w:color w:val="000000"/>
          <w:szCs w:val="24"/>
        </w:rPr>
      </w:pPr>
      <w:r w:rsidRPr="00643161">
        <w:rPr>
          <w:b/>
          <w:bCs/>
          <w:i/>
          <w:iCs/>
          <w:color w:val="000000"/>
          <w:szCs w:val="24"/>
        </w:rPr>
        <w:t xml:space="preserve">Note: defence were given time to consider whether they wished to apply for judicial review of this decision. Had they wished </w:t>
      </w:r>
      <w:r w:rsidR="00643161" w:rsidRPr="00643161">
        <w:rPr>
          <w:b/>
          <w:bCs/>
          <w:i/>
          <w:iCs/>
          <w:color w:val="000000"/>
          <w:szCs w:val="24"/>
        </w:rPr>
        <w:t>to</w:t>
      </w:r>
      <w:r w:rsidRPr="00643161">
        <w:rPr>
          <w:b/>
          <w:bCs/>
          <w:i/>
          <w:iCs/>
          <w:color w:val="000000"/>
          <w:szCs w:val="24"/>
        </w:rPr>
        <w:t xml:space="preserve"> make such an application, this order would have been stayed pending the outcome of those proceedings. On their confirmation that they would </w:t>
      </w:r>
      <w:r w:rsidR="00643161" w:rsidRPr="00643161">
        <w:rPr>
          <w:b/>
          <w:bCs/>
          <w:i/>
          <w:iCs/>
          <w:color w:val="000000"/>
          <w:szCs w:val="24"/>
        </w:rPr>
        <w:t>not</w:t>
      </w:r>
      <w:r w:rsidRPr="00643161">
        <w:rPr>
          <w:b/>
          <w:bCs/>
          <w:i/>
          <w:iCs/>
          <w:color w:val="000000"/>
          <w:szCs w:val="24"/>
        </w:rPr>
        <w:t xml:space="preserve"> be pursuing such an application, this order </w:t>
      </w:r>
      <w:r w:rsidR="00643161" w:rsidRPr="00643161">
        <w:rPr>
          <w:b/>
          <w:bCs/>
          <w:i/>
          <w:iCs/>
          <w:color w:val="000000"/>
          <w:szCs w:val="24"/>
        </w:rPr>
        <w:t xml:space="preserve">has immediate effect. </w:t>
      </w:r>
    </w:p>
    <w:sectPr w:rsidR="00DD576A" w:rsidRPr="00643161">
      <w:headerReference w:type="default" r:id="rId16"/>
      <w:footerReference w:type="default" r:id="rId17"/>
      <w:headerReference w:type="first" r:id="rId18"/>
      <w:footerReference w:type="first" r:id="rId19"/>
      <w:footnotePr>
        <w:numRestart w:val="eachPage"/>
      </w:footnotePr>
      <w:pgSz w:w="11907" w:h="16840" w:code="9"/>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98A8" w14:textId="77777777" w:rsidR="00723688" w:rsidRDefault="00723688">
      <w:r>
        <w:separator/>
      </w:r>
    </w:p>
  </w:endnote>
  <w:endnote w:type="continuationSeparator" w:id="0">
    <w:p w14:paraId="0145DEBC" w14:textId="77777777" w:rsidR="00723688" w:rsidRDefault="007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5625"/>
      <w:gridCol w:w="2597"/>
    </w:tblGrid>
    <w:tr w:rsidR="00354DB7" w14:paraId="7AB72B29" w14:textId="77777777" w:rsidTr="00CA24B3">
      <w:tc>
        <w:tcPr>
          <w:tcW w:w="5625" w:type="dxa"/>
        </w:tcPr>
        <w:p w14:paraId="0A1B90F2" w14:textId="5A36A731" w:rsidR="00354DB7" w:rsidRDefault="007705AF" w:rsidP="00354DB7">
          <w:pPr>
            <w:pStyle w:val="Header"/>
            <w:jc w:val="left"/>
            <w:rPr>
              <w:sz w:val="16"/>
            </w:rPr>
          </w:pPr>
          <w:r>
            <w:rPr>
              <w:sz w:val="16"/>
            </w:rPr>
            <w:t>JHE</w:t>
          </w:r>
          <w:r w:rsidR="00D80AAE">
            <w:rPr>
              <w:sz w:val="16"/>
            </w:rPr>
            <w:t xml:space="preserve"> and </w:t>
          </w:r>
          <w:r>
            <w:rPr>
              <w:sz w:val="16"/>
            </w:rPr>
            <w:t>AXD</w:t>
          </w:r>
          <w:r w:rsidR="00D80AAE">
            <w:rPr>
              <w:sz w:val="16"/>
            </w:rPr>
            <w:t xml:space="preserve"> </w:t>
          </w:r>
          <w:r w:rsidR="00163AAE">
            <w:rPr>
              <w:sz w:val="16"/>
            </w:rPr>
            <w:t>Ruling</w:t>
          </w:r>
        </w:p>
      </w:tc>
      <w:tc>
        <w:tcPr>
          <w:tcW w:w="2597" w:type="dxa"/>
        </w:tcPr>
        <w:p w14:paraId="5E944F68" w14:textId="56D8FFCB" w:rsidR="00354DB7" w:rsidRDefault="00FB0778" w:rsidP="00354DB7">
          <w:pPr>
            <w:pStyle w:val="Header"/>
            <w:jc w:val="right"/>
            <w:rPr>
              <w:sz w:val="16"/>
            </w:rPr>
          </w:pPr>
          <w:r>
            <w:rPr>
              <w:sz w:val="16"/>
            </w:rPr>
            <w:t xml:space="preserve">HHJ </w:t>
          </w:r>
          <w:r w:rsidR="00354DB7">
            <w:rPr>
              <w:sz w:val="16"/>
            </w:rPr>
            <w:fldChar w:fldCharType="begin"/>
          </w:r>
          <w:r w:rsidR="00354DB7">
            <w:rPr>
              <w:sz w:val="16"/>
            </w:rPr>
            <w:instrText xml:space="preserve"> KEYWORDS  \* MERGEFORMAT </w:instrText>
          </w:r>
          <w:r w:rsidR="00354DB7">
            <w:rPr>
              <w:sz w:val="16"/>
            </w:rPr>
            <w:fldChar w:fldCharType="separate"/>
          </w:r>
          <w:r w:rsidR="0024182C">
            <w:rPr>
              <w:sz w:val="16"/>
            </w:rPr>
            <w:t>Sylvia de Bertodano</w:t>
          </w:r>
          <w:r w:rsidR="00354DB7">
            <w:rPr>
              <w:sz w:val="16"/>
            </w:rPr>
            <w:fldChar w:fldCharType="end"/>
          </w:r>
        </w:p>
      </w:tc>
    </w:tr>
  </w:tbl>
  <w:p w14:paraId="5FFFB0B0" w14:textId="77777777" w:rsidR="005E6CE2" w:rsidRDefault="005E6C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283" w14:textId="77777777" w:rsidR="00354DB7" w:rsidRDefault="00354DB7"/>
  <w:tbl>
    <w:tblPr>
      <w:tblW w:w="0" w:type="auto"/>
      <w:tblInd w:w="108" w:type="dxa"/>
      <w:tblLayout w:type="fixed"/>
      <w:tblLook w:val="0000" w:firstRow="0" w:lastRow="0" w:firstColumn="0" w:lastColumn="0" w:noHBand="0" w:noVBand="0"/>
    </w:tblPr>
    <w:tblGrid>
      <w:gridCol w:w="5625"/>
      <w:gridCol w:w="2597"/>
    </w:tblGrid>
    <w:tr w:rsidR="00354DB7" w14:paraId="39F670CB" w14:textId="77777777" w:rsidTr="00CA24B3">
      <w:tc>
        <w:tcPr>
          <w:tcW w:w="5625" w:type="dxa"/>
        </w:tcPr>
        <w:p w14:paraId="33E30DC1" w14:textId="3C959BF8" w:rsidR="00354DB7" w:rsidRDefault="007705AF" w:rsidP="00354DB7">
          <w:pPr>
            <w:pStyle w:val="Header"/>
            <w:jc w:val="left"/>
            <w:rPr>
              <w:sz w:val="16"/>
            </w:rPr>
          </w:pPr>
          <w:r>
            <w:rPr>
              <w:sz w:val="16"/>
            </w:rPr>
            <w:t xml:space="preserve">JHE </w:t>
          </w:r>
          <w:r w:rsidR="00D80AAE">
            <w:rPr>
              <w:sz w:val="16"/>
            </w:rPr>
            <w:t xml:space="preserve">and </w:t>
          </w:r>
          <w:r>
            <w:rPr>
              <w:sz w:val="16"/>
            </w:rPr>
            <w:t>AXD</w:t>
          </w:r>
          <w:r w:rsidR="00D80AAE">
            <w:rPr>
              <w:sz w:val="16"/>
            </w:rPr>
            <w:t xml:space="preserve"> </w:t>
          </w:r>
          <w:r w:rsidR="00163AAE">
            <w:rPr>
              <w:sz w:val="16"/>
            </w:rPr>
            <w:t>Ruling</w:t>
          </w:r>
        </w:p>
      </w:tc>
      <w:tc>
        <w:tcPr>
          <w:tcW w:w="2597" w:type="dxa"/>
        </w:tcPr>
        <w:p w14:paraId="28936780" w14:textId="31F73758" w:rsidR="00354DB7" w:rsidRDefault="00FB0778" w:rsidP="00354DB7">
          <w:pPr>
            <w:pStyle w:val="Header"/>
            <w:jc w:val="right"/>
            <w:rPr>
              <w:sz w:val="16"/>
            </w:rPr>
          </w:pPr>
          <w:r>
            <w:rPr>
              <w:sz w:val="16"/>
            </w:rPr>
            <w:t xml:space="preserve">HHJ </w:t>
          </w:r>
          <w:r w:rsidR="00354DB7">
            <w:rPr>
              <w:sz w:val="16"/>
            </w:rPr>
            <w:fldChar w:fldCharType="begin"/>
          </w:r>
          <w:r w:rsidR="00354DB7">
            <w:rPr>
              <w:sz w:val="16"/>
            </w:rPr>
            <w:instrText xml:space="preserve"> KEYWORDS  \* MERGEFORMAT </w:instrText>
          </w:r>
          <w:r w:rsidR="00354DB7">
            <w:rPr>
              <w:sz w:val="16"/>
            </w:rPr>
            <w:fldChar w:fldCharType="separate"/>
          </w:r>
          <w:r w:rsidR="0024182C">
            <w:rPr>
              <w:sz w:val="16"/>
            </w:rPr>
            <w:t>Sylvia de Bertodano</w:t>
          </w:r>
          <w:r w:rsidR="00354DB7">
            <w:rPr>
              <w:sz w:val="16"/>
            </w:rPr>
            <w:fldChar w:fldCharType="end"/>
          </w:r>
        </w:p>
      </w:tc>
    </w:tr>
  </w:tbl>
  <w:p w14:paraId="3E51E6AD" w14:textId="77777777" w:rsidR="00E10E83" w:rsidRDefault="00E10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2CD1" w14:textId="77777777" w:rsidR="00723688" w:rsidRDefault="00723688">
      <w:r>
        <w:separator/>
      </w:r>
    </w:p>
  </w:footnote>
  <w:footnote w:type="continuationSeparator" w:id="0">
    <w:p w14:paraId="3DE53684" w14:textId="77777777" w:rsidR="00723688" w:rsidRDefault="0072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521" w:type="dxa"/>
      <w:tblInd w:w="2943" w:type="dxa"/>
      <w:tblLayout w:type="fixed"/>
      <w:tblLook w:val="0000" w:firstRow="0" w:lastRow="0" w:firstColumn="0" w:lastColumn="0" w:noHBand="0" w:noVBand="0"/>
    </w:tblPr>
    <w:tblGrid>
      <w:gridCol w:w="4269"/>
      <w:gridCol w:w="2252"/>
    </w:tblGrid>
    <w:tr w:rsidR="00E10E83" w14:paraId="2BED9645" w14:textId="77777777" w:rsidTr="009D5C97">
      <w:tc>
        <w:tcPr>
          <w:tcW w:w="4269" w:type="dxa"/>
        </w:tcPr>
        <w:p w14:paraId="44CE699F" w14:textId="77777777" w:rsidR="00E10E83" w:rsidRDefault="009D5C97">
          <w:pPr>
            <w:pStyle w:val="Header"/>
            <w:jc w:val="right"/>
            <w:rPr>
              <w:sz w:val="16"/>
            </w:rPr>
          </w:pPr>
          <w:r>
            <w:rPr>
              <w:sz w:val="16"/>
            </w:rPr>
            <w:t>R</w:t>
          </w:r>
          <w:r w:rsidR="00C927C5">
            <w:rPr>
              <w:sz w:val="16"/>
            </w:rPr>
            <w:t xml:space="preserve"> v </w:t>
          </w:r>
        </w:p>
      </w:tc>
      <w:tc>
        <w:tcPr>
          <w:tcW w:w="2252" w:type="dxa"/>
        </w:tcPr>
        <w:p w14:paraId="3DB6E14A" w14:textId="77777777" w:rsidR="00E10E83" w:rsidRDefault="00E10E83">
          <w:pPr>
            <w:pStyle w:val="Header"/>
            <w:jc w:val="center"/>
            <w:rPr>
              <w:sz w:val="20"/>
            </w:rPr>
          </w:pPr>
          <w:r>
            <w:rPr>
              <w:b/>
              <w:sz w:val="20"/>
            </w:rPr>
            <w:t xml:space="preserve">Page </w:t>
          </w:r>
          <w:r>
            <w:rPr>
              <w:b/>
              <w:sz w:val="20"/>
            </w:rPr>
            <w:fldChar w:fldCharType="begin"/>
          </w:r>
          <w:r>
            <w:rPr>
              <w:b/>
              <w:sz w:val="20"/>
            </w:rPr>
            <w:instrText xml:space="preserve"> PAGE  \* MERGEFORMAT </w:instrText>
          </w:r>
          <w:r>
            <w:rPr>
              <w:b/>
              <w:sz w:val="20"/>
            </w:rPr>
            <w:fldChar w:fldCharType="separate"/>
          </w:r>
          <w:r w:rsidR="006F5A25">
            <w:rPr>
              <w:b/>
              <w:noProof/>
              <w:sz w:val="20"/>
            </w:rPr>
            <w:t>2</w:t>
          </w:r>
          <w:r>
            <w:rPr>
              <w:b/>
              <w:sz w:val="20"/>
            </w:rPr>
            <w:fldChar w:fldCharType="end"/>
          </w:r>
          <w:r>
            <w:rP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6F5A25">
            <w:rPr>
              <w:rStyle w:val="PageNumber"/>
              <w:noProof/>
              <w:sz w:val="20"/>
            </w:rPr>
            <w:t>2</w:t>
          </w:r>
          <w:r>
            <w:rPr>
              <w:rStyle w:val="PageNumber"/>
              <w:sz w:val="20"/>
            </w:rPr>
            <w:fldChar w:fldCharType="end"/>
          </w:r>
        </w:p>
      </w:tc>
    </w:tr>
    <w:tr w:rsidR="00E10E83" w14:paraId="34B718C0" w14:textId="77777777" w:rsidTr="009D5C97">
      <w:tc>
        <w:tcPr>
          <w:tcW w:w="4269" w:type="dxa"/>
        </w:tcPr>
        <w:p w14:paraId="54AAAC5B" w14:textId="2538190C" w:rsidR="00E10E83" w:rsidRDefault="007705AF">
          <w:pPr>
            <w:pStyle w:val="Header"/>
            <w:jc w:val="right"/>
            <w:rPr>
              <w:sz w:val="16"/>
            </w:rPr>
          </w:pPr>
          <w:r>
            <w:rPr>
              <w:sz w:val="16"/>
            </w:rPr>
            <w:t>JHE</w:t>
          </w:r>
          <w:r w:rsidR="00D80AAE">
            <w:rPr>
              <w:sz w:val="16"/>
            </w:rPr>
            <w:t xml:space="preserve"> and </w:t>
          </w:r>
          <w:r>
            <w:rPr>
              <w:sz w:val="16"/>
            </w:rPr>
            <w:t>AXD</w:t>
          </w:r>
        </w:p>
      </w:tc>
      <w:tc>
        <w:tcPr>
          <w:tcW w:w="2252" w:type="dxa"/>
          <w:tcBorders>
            <w:bottom w:val="single" w:sz="6" w:space="0" w:color="auto"/>
          </w:tcBorders>
        </w:tcPr>
        <w:p w14:paraId="32A3105A" w14:textId="0889A539" w:rsidR="00E10E83" w:rsidRDefault="009D5C97">
          <w:pPr>
            <w:pStyle w:val="Header"/>
            <w:jc w:val="center"/>
            <w:rPr>
              <w:sz w:val="16"/>
            </w:rPr>
          </w:pPr>
          <w:r>
            <w:rPr>
              <w:sz w:val="16"/>
            </w:rPr>
            <w:t xml:space="preserve"> </w:t>
          </w:r>
          <w:r w:rsidR="00163AAE">
            <w:rPr>
              <w:sz w:val="16"/>
            </w:rPr>
            <w:t>8 December</w:t>
          </w:r>
          <w:r w:rsidR="00D80AAE">
            <w:rPr>
              <w:sz w:val="16"/>
            </w:rPr>
            <w:t xml:space="preserve"> 2025</w:t>
          </w:r>
        </w:p>
      </w:tc>
    </w:tr>
  </w:tbl>
  <w:p w14:paraId="6F3D3F3C" w14:textId="77777777" w:rsidR="00E10E83" w:rsidRDefault="00E10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178"/>
      <w:gridCol w:w="4320"/>
      <w:gridCol w:w="2070"/>
    </w:tblGrid>
    <w:tr w:rsidR="00E10E83" w14:paraId="73AF2B61" w14:textId="77777777">
      <w:tc>
        <w:tcPr>
          <w:tcW w:w="2178" w:type="dxa"/>
        </w:tcPr>
        <w:p w14:paraId="43D5D7D2" w14:textId="77777777" w:rsidR="00E10E83" w:rsidRDefault="00E10E83">
          <w:pPr>
            <w:jc w:val="center"/>
          </w:pPr>
        </w:p>
      </w:tc>
      <w:tc>
        <w:tcPr>
          <w:tcW w:w="4320" w:type="dxa"/>
        </w:tcPr>
        <w:p w14:paraId="7DC57392" w14:textId="77777777" w:rsidR="00E10E83" w:rsidRDefault="00A04D61">
          <w:pPr>
            <w:spacing w:before="240"/>
            <w:jc w:val="center"/>
            <w:rPr>
              <w:color w:val="FF0000"/>
            </w:rPr>
          </w:pPr>
          <w:r>
            <w:rPr>
              <w:noProof/>
            </w:rPr>
            <w:drawing>
              <wp:inline distT="0" distB="0" distL="0" distR="0" wp14:anchorId="77F3DF2D" wp14:editId="61C5BDBA">
                <wp:extent cx="852805" cy="760095"/>
                <wp:effectExtent l="0" t="0" r="0" b="0"/>
                <wp:docPr id="1" name="Picture 1" descr="b_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_arm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760095"/>
                        </a:xfrm>
                        <a:prstGeom prst="rect">
                          <a:avLst/>
                        </a:prstGeom>
                        <a:noFill/>
                        <a:ln>
                          <a:noFill/>
                        </a:ln>
                      </pic:spPr>
                    </pic:pic>
                  </a:graphicData>
                </a:graphic>
              </wp:inline>
            </w:drawing>
          </w:r>
        </w:p>
      </w:tc>
      <w:tc>
        <w:tcPr>
          <w:tcW w:w="2070" w:type="dxa"/>
        </w:tcPr>
        <w:p w14:paraId="1AEF918A" w14:textId="77777777" w:rsidR="00E10E83" w:rsidRDefault="00E10E83">
          <w:pPr>
            <w:jc w:val="center"/>
          </w:pPr>
        </w:p>
      </w:tc>
    </w:tr>
  </w:tbl>
  <w:p w14:paraId="222016AF" w14:textId="77777777" w:rsidR="00E10E83" w:rsidRDefault="00E10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402D444"/>
    <w:lvl w:ilvl="0">
      <w:start w:val="1"/>
      <w:numFmt w:val="decimal"/>
      <w:isLgl/>
      <w:lvlText w:val="%1."/>
      <w:lvlJc w:val="left"/>
      <w:pPr>
        <w:tabs>
          <w:tab w:val="num" w:pos="0"/>
        </w:tabs>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F84793A"/>
    <w:multiLevelType w:val="hybridMultilevel"/>
    <w:tmpl w:val="D2B4D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7534D6"/>
    <w:multiLevelType w:val="hybridMultilevel"/>
    <w:tmpl w:val="73E0D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6F272F"/>
    <w:multiLevelType w:val="hybridMultilevel"/>
    <w:tmpl w:val="1ED644E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4A50DB"/>
    <w:multiLevelType w:val="hybridMultilevel"/>
    <w:tmpl w:val="6EFC5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0032A"/>
    <w:multiLevelType w:val="hybridMultilevel"/>
    <w:tmpl w:val="57EA0102"/>
    <w:lvl w:ilvl="0" w:tplc="EF96D4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17D90"/>
    <w:multiLevelType w:val="hybridMultilevel"/>
    <w:tmpl w:val="8BEA1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F6030"/>
    <w:multiLevelType w:val="hybridMultilevel"/>
    <w:tmpl w:val="D0D40FC2"/>
    <w:lvl w:ilvl="0" w:tplc="2E4217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01290C"/>
    <w:multiLevelType w:val="hybridMultilevel"/>
    <w:tmpl w:val="CF34B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7359FD"/>
    <w:multiLevelType w:val="hybridMultilevel"/>
    <w:tmpl w:val="1ED644E2"/>
    <w:lvl w:ilvl="0" w:tplc="E8687C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F05F8D"/>
    <w:multiLevelType w:val="hybridMultilevel"/>
    <w:tmpl w:val="C234E59E"/>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6750E"/>
    <w:multiLevelType w:val="hybridMultilevel"/>
    <w:tmpl w:val="93C20B06"/>
    <w:lvl w:ilvl="0" w:tplc="B6DA71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985F47"/>
    <w:multiLevelType w:val="hybridMultilevel"/>
    <w:tmpl w:val="C8A4EF1C"/>
    <w:lvl w:ilvl="0" w:tplc="2C981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F17F59"/>
    <w:multiLevelType w:val="multilevel"/>
    <w:tmpl w:val="93E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F1B42"/>
    <w:multiLevelType w:val="hybridMultilevel"/>
    <w:tmpl w:val="8D80EE80"/>
    <w:lvl w:ilvl="0" w:tplc="F7AC233C">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0E62C6D"/>
    <w:multiLevelType w:val="multilevel"/>
    <w:tmpl w:val="D402D444"/>
    <w:lvl w:ilvl="0">
      <w:start w:val="1"/>
      <w:numFmt w:val="decimal"/>
      <w:isLgl/>
      <w:lvlText w:val="%1."/>
      <w:lvlJc w:val="left"/>
      <w:pPr>
        <w:tabs>
          <w:tab w:val="num" w:pos="0"/>
        </w:tabs>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65412B7E"/>
    <w:multiLevelType w:val="hybridMultilevel"/>
    <w:tmpl w:val="4CF81EAA"/>
    <w:lvl w:ilvl="0" w:tplc="646AC2C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FEA0D2F"/>
    <w:multiLevelType w:val="hybridMultilevel"/>
    <w:tmpl w:val="F53C9074"/>
    <w:lvl w:ilvl="0" w:tplc="55C617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846159">
    <w:abstractNumId w:val="0"/>
  </w:num>
  <w:num w:numId="2" w16cid:durableId="1592548285">
    <w:abstractNumId w:val="10"/>
  </w:num>
  <w:num w:numId="3" w16cid:durableId="1785882049">
    <w:abstractNumId w:val="5"/>
  </w:num>
  <w:num w:numId="4" w16cid:durableId="1358777499">
    <w:abstractNumId w:val="17"/>
  </w:num>
  <w:num w:numId="5" w16cid:durableId="1694376637">
    <w:abstractNumId w:val="9"/>
  </w:num>
  <w:num w:numId="6" w16cid:durableId="1852379679">
    <w:abstractNumId w:val="3"/>
  </w:num>
  <w:num w:numId="7" w16cid:durableId="1220744309">
    <w:abstractNumId w:val="0"/>
  </w:num>
  <w:num w:numId="8" w16cid:durableId="1603806677">
    <w:abstractNumId w:val="0"/>
  </w:num>
  <w:num w:numId="9" w16cid:durableId="575284469">
    <w:abstractNumId w:val="7"/>
  </w:num>
  <w:num w:numId="10" w16cid:durableId="321158026">
    <w:abstractNumId w:val="0"/>
  </w:num>
  <w:num w:numId="11" w16cid:durableId="1909924289">
    <w:abstractNumId w:val="12"/>
  </w:num>
  <w:num w:numId="12" w16cid:durableId="1397241230">
    <w:abstractNumId w:val="0"/>
  </w:num>
  <w:num w:numId="13" w16cid:durableId="703286496">
    <w:abstractNumId w:val="0"/>
  </w:num>
  <w:num w:numId="14" w16cid:durableId="1638559558">
    <w:abstractNumId w:val="16"/>
  </w:num>
  <w:num w:numId="15" w16cid:durableId="1893542752">
    <w:abstractNumId w:val="14"/>
  </w:num>
  <w:num w:numId="16" w16cid:durableId="444495708">
    <w:abstractNumId w:val="11"/>
  </w:num>
  <w:num w:numId="17" w16cid:durableId="2030330856">
    <w:abstractNumId w:val="13"/>
  </w:num>
  <w:num w:numId="18" w16cid:durableId="2121686015">
    <w:abstractNumId w:val="4"/>
  </w:num>
  <w:num w:numId="19" w16cid:durableId="1632785314">
    <w:abstractNumId w:val="6"/>
  </w:num>
  <w:num w:numId="20" w16cid:durableId="1077093766">
    <w:abstractNumId w:val="8"/>
  </w:num>
  <w:num w:numId="21" w16cid:durableId="188497991">
    <w:abstractNumId w:val="15"/>
  </w:num>
  <w:num w:numId="22" w16cid:durableId="711922408">
    <w:abstractNumId w:val="1"/>
  </w:num>
  <w:num w:numId="23" w16cid:durableId="4762663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D7"/>
    <w:rsid w:val="0000693D"/>
    <w:rsid w:val="0000745A"/>
    <w:rsid w:val="00010EF2"/>
    <w:rsid w:val="00016C1B"/>
    <w:rsid w:val="00021AAC"/>
    <w:rsid w:val="000352C5"/>
    <w:rsid w:val="00042F3D"/>
    <w:rsid w:val="00045B23"/>
    <w:rsid w:val="00056557"/>
    <w:rsid w:val="000573A1"/>
    <w:rsid w:val="00065229"/>
    <w:rsid w:val="000657E5"/>
    <w:rsid w:val="0006659E"/>
    <w:rsid w:val="000665E1"/>
    <w:rsid w:val="00067A56"/>
    <w:rsid w:val="00067D0F"/>
    <w:rsid w:val="00075378"/>
    <w:rsid w:val="0008393C"/>
    <w:rsid w:val="0009569A"/>
    <w:rsid w:val="000B151C"/>
    <w:rsid w:val="000B632A"/>
    <w:rsid w:val="000B641F"/>
    <w:rsid w:val="000C087C"/>
    <w:rsid w:val="000C4FE2"/>
    <w:rsid w:val="000D18EE"/>
    <w:rsid w:val="000D27E5"/>
    <w:rsid w:val="000D41D1"/>
    <w:rsid w:val="000D67DA"/>
    <w:rsid w:val="000F1EEF"/>
    <w:rsid w:val="000F266F"/>
    <w:rsid w:val="000F3418"/>
    <w:rsid w:val="00105CF0"/>
    <w:rsid w:val="00107C26"/>
    <w:rsid w:val="00112330"/>
    <w:rsid w:val="00112447"/>
    <w:rsid w:val="0011636E"/>
    <w:rsid w:val="00116E9F"/>
    <w:rsid w:val="00121B66"/>
    <w:rsid w:val="001237F5"/>
    <w:rsid w:val="00124ACD"/>
    <w:rsid w:val="001322E4"/>
    <w:rsid w:val="001370E2"/>
    <w:rsid w:val="0015705A"/>
    <w:rsid w:val="00160761"/>
    <w:rsid w:val="00160BDE"/>
    <w:rsid w:val="0016164A"/>
    <w:rsid w:val="00163AAE"/>
    <w:rsid w:val="001640AF"/>
    <w:rsid w:val="00167446"/>
    <w:rsid w:val="00170FB8"/>
    <w:rsid w:val="00184028"/>
    <w:rsid w:val="00185807"/>
    <w:rsid w:val="00190F7A"/>
    <w:rsid w:val="0019106A"/>
    <w:rsid w:val="001A081A"/>
    <w:rsid w:val="001A1762"/>
    <w:rsid w:val="001A32A3"/>
    <w:rsid w:val="001A4A9F"/>
    <w:rsid w:val="001A5C90"/>
    <w:rsid w:val="001A77F7"/>
    <w:rsid w:val="001C056B"/>
    <w:rsid w:val="001C3C6C"/>
    <w:rsid w:val="001C3CDD"/>
    <w:rsid w:val="001D69AF"/>
    <w:rsid w:val="001E5BBF"/>
    <w:rsid w:val="001F3BDC"/>
    <w:rsid w:val="001F42EB"/>
    <w:rsid w:val="001F7014"/>
    <w:rsid w:val="00201458"/>
    <w:rsid w:val="00206AB9"/>
    <w:rsid w:val="00206FBF"/>
    <w:rsid w:val="00211A53"/>
    <w:rsid w:val="00220CEF"/>
    <w:rsid w:val="00224C1A"/>
    <w:rsid w:val="002306D1"/>
    <w:rsid w:val="002360E5"/>
    <w:rsid w:val="0024090D"/>
    <w:rsid w:val="0024115F"/>
    <w:rsid w:val="0024182C"/>
    <w:rsid w:val="00245243"/>
    <w:rsid w:val="0024745F"/>
    <w:rsid w:val="002504EB"/>
    <w:rsid w:val="0025088D"/>
    <w:rsid w:val="0025176F"/>
    <w:rsid w:val="00261629"/>
    <w:rsid w:val="00280B2B"/>
    <w:rsid w:val="0028181E"/>
    <w:rsid w:val="0028322E"/>
    <w:rsid w:val="00286C5F"/>
    <w:rsid w:val="00293504"/>
    <w:rsid w:val="002B0BD1"/>
    <w:rsid w:val="002B1F3A"/>
    <w:rsid w:val="002B3F0F"/>
    <w:rsid w:val="002B6C0F"/>
    <w:rsid w:val="002D16E5"/>
    <w:rsid w:val="002E1417"/>
    <w:rsid w:val="002F2C1E"/>
    <w:rsid w:val="002F3094"/>
    <w:rsid w:val="002F64BF"/>
    <w:rsid w:val="002F6B70"/>
    <w:rsid w:val="003078D3"/>
    <w:rsid w:val="00310E16"/>
    <w:rsid w:val="00317304"/>
    <w:rsid w:val="00335E03"/>
    <w:rsid w:val="00336A44"/>
    <w:rsid w:val="0034453E"/>
    <w:rsid w:val="00353133"/>
    <w:rsid w:val="00354DB7"/>
    <w:rsid w:val="003606AF"/>
    <w:rsid w:val="00367489"/>
    <w:rsid w:val="003856E1"/>
    <w:rsid w:val="003879B7"/>
    <w:rsid w:val="00387FF9"/>
    <w:rsid w:val="00390B87"/>
    <w:rsid w:val="003A1425"/>
    <w:rsid w:val="003B1089"/>
    <w:rsid w:val="003C0FFD"/>
    <w:rsid w:val="003C4E14"/>
    <w:rsid w:val="003C7075"/>
    <w:rsid w:val="003D142B"/>
    <w:rsid w:val="003D19F0"/>
    <w:rsid w:val="003D37A3"/>
    <w:rsid w:val="003D7559"/>
    <w:rsid w:val="003E0C88"/>
    <w:rsid w:val="003E2E08"/>
    <w:rsid w:val="003F05FA"/>
    <w:rsid w:val="003F2186"/>
    <w:rsid w:val="003F3315"/>
    <w:rsid w:val="00402290"/>
    <w:rsid w:val="00402F0A"/>
    <w:rsid w:val="00406081"/>
    <w:rsid w:val="0040712E"/>
    <w:rsid w:val="00414EE2"/>
    <w:rsid w:val="004201F4"/>
    <w:rsid w:val="004207DC"/>
    <w:rsid w:val="0043215F"/>
    <w:rsid w:val="00432BDE"/>
    <w:rsid w:val="0043555F"/>
    <w:rsid w:val="004423C3"/>
    <w:rsid w:val="004544E1"/>
    <w:rsid w:val="00463971"/>
    <w:rsid w:val="004651EE"/>
    <w:rsid w:val="00466ED3"/>
    <w:rsid w:val="00471382"/>
    <w:rsid w:val="00472EB3"/>
    <w:rsid w:val="00483980"/>
    <w:rsid w:val="00484F44"/>
    <w:rsid w:val="00494395"/>
    <w:rsid w:val="004943BC"/>
    <w:rsid w:val="004A0F08"/>
    <w:rsid w:val="004A262C"/>
    <w:rsid w:val="004B7F8B"/>
    <w:rsid w:val="004C1A1F"/>
    <w:rsid w:val="004E191B"/>
    <w:rsid w:val="004E3565"/>
    <w:rsid w:val="005015C7"/>
    <w:rsid w:val="005043C8"/>
    <w:rsid w:val="005166B6"/>
    <w:rsid w:val="005268C1"/>
    <w:rsid w:val="00531084"/>
    <w:rsid w:val="00531AAD"/>
    <w:rsid w:val="00535964"/>
    <w:rsid w:val="00551909"/>
    <w:rsid w:val="005606C5"/>
    <w:rsid w:val="00562624"/>
    <w:rsid w:val="00570ACA"/>
    <w:rsid w:val="00580155"/>
    <w:rsid w:val="005840B6"/>
    <w:rsid w:val="0059465C"/>
    <w:rsid w:val="00594D36"/>
    <w:rsid w:val="0059694D"/>
    <w:rsid w:val="005A3950"/>
    <w:rsid w:val="005A5DA6"/>
    <w:rsid w:val="005A7539"/>
    <w:rsid w:val="005B1635"/>
    <w:rsid w:val="005C0C52"/>
    <w:rsid w:val="005C134E"/>
    <w:rsid w:val="005C1372"/>
    <w:rsid w:val="005C2A3F"/>
    <w:rsid w:val="005C37F2"/>
    <w:rsid w:val="005C6D1A"/>
    <w:rsid w:val="005C7565"/>
    <w:rsid w:val="005C7E43"/>
    <w:rsid w:val="005E3776"/>
    <w:rsid w:val="005E3F7E"/>
    <w:rsid w:val="005E4BF0"/>
    <w:rsid w:val="005E6CE2"/>
    <w:rsid w:val="005F228D"/>
    <w:rsid w:val="005F6C4E"/>
    <w:rsid w:val="005F769C"/>
    <w:rsid w:val="006059AC"/>
    <w:rsid w:val="00606A30"/>
    <w:rsid w:val="00610403"/>
    <w:rsid w:val="006109BF"/>
    <w:rsid w:val="006128D3"/>
    <w:rsid w:val="006212A4"/>
    <w:rsid w:val="006317DE"/>
    <w:rsid w:val="0063245C"/>
    <w:rsid w:val="00634169"/>
    <w:rsid w:val="006353E2"/>
    <w:rsid w:val="00643161"/>
    <w:rsid w:val="00646A18"/>
    <w:rsid w:val="00647389"/>
    <w:rsid w:val="0065481B"/>
    <w:rsid w:val="00664134"/>
    <w:rsid w:val="006720AF"/>
    <w:rsid w:val="00674B12"/>
    <w:rsid w:val="006838EF"/>
    <w:rsid w:val="00692CB8"/>
    <w:rsid w:val="006950CF"/>
    <w:rsid w:val="006A2576"/>
    <w:rsid w:val="006A487D"/>
    <w:rsid w:val="006B257F"/>
    <w:rsid w:val="006B2BB4"/>
    <w:rsid w:val="006B44A4"/>
    <w:rsid w:val="006B5E4A"/>
    <w:rsid w:val="006D0133"/>
    <w:rsid w:val="006D3E5D"/>
    <w:rsid w:val="006D6CA2"/>
    <w:rsid w:val="006E29FE"/>
    <w:rsid w:val="006E2ECD"/>
    <w:rsid w:val="006F0457"/>
    <w:rsid w:val="006F0734"/>
    <w:rsid w:val="006F152E"/>
    <w:rsid w:val="006F20D8"/>
    <w:rsid w:val="006F2D16"/>
    <w:rsid w:val="006F31ED"/>
    <w:rsid w:val="006F5A25"/>
    <w:rsid w:val="00706548"/>
    <w:rsid w:val="00710E2D"/>
    <w:rsid w:val="00713C95"/>
    <w:rsid w:val="00721183"/>
    <w:rsid w:val="00723688"/>
    <w:rsid w:val="00731B12"/>
    <w:rsid w:val="00732E0B"/>
    <w:rsid w:val="00740002"/>
    <w:rsid w:val="007409D7"/>
    <w:rsid w:val="00743BB2"/>
    <w:rsid w:val="00745AB4"/>
    <w:rsid w:val="00756CF0"/>
    <w:rsid w:val="00763BC9"/>
    <w:rsid w:val="00766A18"/>
    <w:rsid w:val="007705AF"/>
    <w:rsid w:val="00772BF0"/>
    <w:rsid w:val="00774FE6"/>
    <w:rsid w:val="0078392F"/>
    <w:rsid w:val="00783EE0"/>
    <w:rsid w:val="007854C2"/>
    <w:rsid w:val="007933BE"/>
    <w:rsid w:val="00795878"/>
    <w:rsid w:val="007B0F77"/>
    <w:rsid w:val="007B4F6D"/>
    <w:rsid w:val="007C1814"/>
    <w:rsid w:val="007C4E33"/>
    <w:rsid w:val="007E1C29"/>
    <w:rsid w:val="007F08A9"/>
    <w:rsid w:val="007F1AC4"/>
    <w:rsid w:val="007F606A"/>
    <w:rsid w:val="00813B25"/>
    <w:rsid w:val="00816D88"/>
    <w:rsid w:val="00821537"/>
    <w:rsid w:val="00821EB8"/>
    <w:rsid w:val="008226AE"/>
    <w:rsid w:val="00832F07"/>
    <w:rsid w:val="008362BF"/>
    <w:rsid w:val="008372D9"/>
    <w:rsid w:val="00841D48"/>
    <w:rsid w:val="00841FE4"/>
    <w:rsid w:val="00844711"/>
    <w:rsid w:val="00846CBC"/>
    <w:rsid w:val="0085686B"/>
    <w:rsid w:val="00857AAF"/>
    <w:rsid w:val="00857CA4"/>
    <w:rsid w:val="00861076"/>
    <w:rsid w:val="008632F6"/>
    <w:rsid w:val="00863C8D"/>
    <w:rsid w:val="0087176F"/>
    <w:rsid w:val="00871DB7"/>
    <w:rsid w:val="00873D04"/>
    <w:rsid w:val="0087479A"/>
    <w:rsid w:val="008809E8"/>
    <w:rsid w:val="00883620"/>
    <w:rsid w:val="00887E8B"/>
    <w:rsid w:val="008A0E7C"/>
    <w:rsid w:val="008A27F4"/>
    <w:rsid w:val="008A562C"/>
    <w:rsid w:val="008C1FCA"/>
    <w:rsid w:val="008C311A"/>
    <w:rsid w:val="008C5A53"/>
    <w:rsid w:val="008C5C6C"/>
    <w:rsid w:val="008C6E2F"/>
    <w:rsid w:val="008D2289"/>
    <w:rsid w:val="008D39E1"/>
    <w:rsid w:val="008D6321"/>
    <w:rsid w:val="008D7FD2"/>
    <w:rsid w:val="008E0515"/>
    <w:rsid w:val="008E54B2"/>
    <w:rsid w:val="008F7759"/>
    <w:rsid w:val="008F7808"/>
    <w:rsid w:val="0090153A"/>
    <w:rsid w:val="00906447"/>
    <w:rsid w:val="009079BE"/>
    <w:rsid w:val="0091188A"/>
    <w:rsid w:val="00912AC9"/>
    <w:rsid w:val="00915099"/>
    <w:rsid w:val="009161B7"/>
    <w:rsid w:val="0092352A"/>
    <w:rsid w:val="00925B33"/>
    <w:rsid w:val="0093532A"/>
    <w:rsid w:val="009354A2"/>
    <w:rsid w:val="00935F2C"/>
    <w:rsid w:val="00941D3D"/>
    <w:rsid w:val="009422A6"/>
    <w:rsid w:val="009424DD"/>
    <w:rsid w:val="00943D2D"/>
    <w:rsid w:val="00952B64"/>
    <w:rsid w:val="009551C7"/>
    <w:rsid w:val="0095701B"/>
    <w:rsid w:val="00957A71"/>
    <w:rsid w:val="00962AF9"/>
    <w:rsid w:val="00973CE9"/>
    <w:rsid w:val="00981B04"/>
    <w:rsid w:val="009824FE"/>
    <w:rsid w:val="00984A28"/>
    <w:rsid w:val="0099047C"/>
    <w:rsid w:val="0099340D"/>
    <w:rsid w:val="00994286"/>
    <w:rsid w:val="00995363"/>
    <w:rsid w:val="009A08D7"/>
    <w:rsid w:val="009A1B19"/>
    <w:rsid w:val="009A36A6"/>
    <w:rsid w:val="009A474E"/>
    <w:rsid w:val="009A63AC"/>
    <w:rsid w:val="009A77EC"/>
    <w:rsid w:val="009B0FED"/>
    <w:rsid w:val="009B2296"/>
    <w:rsid w:val="009B7696"/>
    <w:rsid w:val="009C0C90"/>
    <w:rsid w:val="009C3E1D"/>
    <w:rsid w:val="009C4473"/>
    <w:rsid w:val="009C79DF"/>
    <w:rsid w:val="009D5C97"/>
    <w:rsid w:val="009D79F6"/>
    <w:rsid w:val="009E0EE9"/>
    <w:rsid w:val="009E4663"/>
    <w:rsid w:val="00A024C7"/>
    <w:rsid w:val="00A04D61"/>
    <w:rsid w:val="00A04EF2"/>
    <w:rsid w:val="00A051A7"/>
    <w:rsid w:val="00A06474"/>
    <w:rsid w:val="00A124B7"/>
    <w:rsid w:val="00A25142"/>
    <w:rsid w:val="00A25AEE"/>
    <w:rsid w:val="00A27492"/>
    <w:rsid w:val="00A27B8B"/>
    <w:rsid w:val="00A311CD"/>
    <w:rsid w:val="00A321F0"/>
    <w:rsid w:val="00A324CD"/>
    <w:rsid w:val="00A32593"/>
    <w:rsid w:val="00A34777"/>
    <w:rsid w:val="00A353E2"/>
    <w:rsid w:val="00A40CD0"/>
    <w:rsid w:val="00A460C6"/>
    <w:rsid w:val="00A523BC"/>
    <w:rsid w:val="00A606C0"/>
    <w:rsid w:val="00A609A4"/>
    <w:rsid w:val="00A623C7"/>
    <w:rsid w:val="00A663D2"/>
    <w:rsid w:val="00A73EC5"/>
    <w:rsid w:val="00A75242"/>
    <w:rsid w:val="00A80C7D"/>
    <w:rsid w:val="00A875A9"/>
    <w:rsid w:val="00A90769"/>
    <w:rsid w:val="00A90860"/>
    <w:rsid w:val="00A953BD"/>
    <w:rsid w:val="00AA2067"/>
    <w:rsid w:val="00AA705E"/>
    <w:rsid w:val="00AA766E"/>
    <w:rsid w:val="00AA771D"/>
    <w:rsid w:val="00AB359C"/>
    <w:rsid w:val="00AB46EA"/>
    <w:rsid w:val="00AC2AFE"/>
    <w:rsid w:val="00AC5807"/>
    <w:rsid w:val="00AC6BC1"/>
    <w:rsid w:val="00AD51FF"/>
    <w:rsid w:val="00AD5B48"/>
    <w:rsid w:val="00AD7330"/>
    <w:rsid w:val="00AD7A82"/>
    <w:rsid w:val="00AE378A"/>
    <w:rsid w:val="00AE555C"/>
    <w:rsid w:val="00AF0793"/>
    <w:rsid w:val="00AF18F3"/>
    <w:rsid w:val="00B001AA"/>
    <w:rsid w:val="00B03F0E"/>
    <w:rsid w:val="00B06A13"/>
    <w:rsid w:val="00B1648A"/>
    <w:rsid w:val="00B17677"/>
    <w:rsid w:val="00B203E9"/>
    <w:rsid w:val="00B24BAF"/>
    <w:rsid w:val="00B30785"/>
    <w:rsid w:val="00B3330A"/>
    <w:rsid w:val="00B36B0D"/>
    <w:rsid w:val="00B45A4B"/>
    <w:rsid w:val="00B56C77"/>
    <w:rsid w:val="00B572D5"/>
    <w:rsid w:val="00B60C09"/>
    <w:rsid w:val="00B67E37"/>
    <w:rsid w:val="00B7699E"/>
    <w:rsid w:val="00B807BE"/>
    <w:rsid w:val="00B85833"/>
    <w:rsid w:val="00B86410"/>
    <w:rsid w:val="00B9650C"/>
    <w:rsid w:val="00BA3E27"/>
    <w:rsid w:val="00BA51D7"/>
    <w:rsid w:val="00BA6E9B"/>
    <w:rsid w:val="00BC6E51"/>
    <w:rsid w:val="00BD2F64"/>
    <w:rsid w:val="00BD3F5E"/>
    <w:rsid w:val="00BD5812"/>
    <w:rsid w:val="00BD59E4"/>
    <w:rsid w:val="00BE5C84"/>
    <w:rsid w:val="00BF19BE"/>
    <w:rsid w:val="00BF46D8"/>
    <w:rsid w:val="00C01158"/>
    <w:rsid w:val="00C1662D"/>
    <w:rsid w:val="00C2008E"/>
    <w:rsid w:val="00C21CCF"/>
    <w:rsid w:val="00C22125"/>
    <w:rsid w:val="00C22A5E"/>
    <w:rsid w:val="00C300E9"/>
    <w:rsid w:val="00C30C11"/>
    <w:rsid w:val="00C422AF"/>
    <w:rsid w:val="00C550FD"/>
    <w:rsid w:val="00C5550D"/>
    <w:rsid w:val="00C60468"/>
    <w:rsid w:val="00C701E2"/>
    <w:rsid w:val="00C703DF"/>
    <w:rsid w:val="00C7134B"/>
    <w:rsid w:val="00C73230"/>
    <w:rsid w:val="00C77161"/>
    <w:rsid w:val="00C7776E"/>
    <w:rsid w:val="00C81406"/>
    <w:rsid w:val="00C90E11"/>
    <w:rsid w:val="00C91E3B"/>
    <w:rsid w:val="00C927C5"/>
    <w:rsid w:val="00C94111"/>
    <w:rsid w:val="00C974CC"/>
    <w:rsid w:val="00CA5E15"/>
    <w:rsid w:val="00CB0A8B"/>
    <w:rsid w:val="00CB3560"/>
    <w:rsid w:val="00CB4CF1"/>
    <w:rsid w:val="00CC0654"/>
    <w:rsid w:val="00CC4296"/>
    <w:rsid w:val="00CD0184"/>
    <w:rsid w:val="00CD1DD2"/>
    <w:rsid w:val="00CD4827"/>
    <w:rsid w:val="00CF009A"/>
    <w:rsid w:val="00CF62DB"/>
    <w:rsid w:val="00D007DA"/>
    <w:rsid w:val="00D02F15"/>
    <w:rsid w:val="00D214BF"/>
    <w:rsid w:val="00D2427E"/>
    <w:rsid w:val="00D32393"/>
    <w:rsid w:val="00D337E7"/>
    <w:rsid w:val="00D36786"/>
    <w:rsid w:val="00D440F0"/>
    <w:rsid w:val="00D440F4"/>
    <w:rsid w:val="00D479A1"/>
    <w:rsid w:val="00D53C65"/>
    <w:rsid w:val="00D55EFA"/>
    <w:rsid w:val="00D56A01"/>
    <w:rsid w:val="00D56A69"/>
    <w:rsid w:val="00D56D7A"/>
    <w:rsid w:val="00D57A18"/>
    <w:rsid w:val="00D63B56"/>
    <w:rsid w:val="00D64E14"/>
    <w:rsid w:val="00D67E0C"/>
    <w:rsid w:val="00D70E62"/>
    <w:rsid w:val="00D7103C"/>
    <w:rsid w:val="00D80AAE"/>
    <w:rsid w:val="00D84B34"/>
    <w:rsid w:val="00D86C11"/>
    <w:rsid w:val="00D95B35"/>
    <w:rsid w:val="00DA45DA"/>
    <w:rsid w:val="00DA6E59"/>
    <w:rsid w:val="00DC30FB"/>
    <w:rsid w:val="00DC4EC4"/>
    <w:rsid w:val="00DC5A37"/>
    <w:rsid w:val="00DD0566"/>
    <w:rsid w:val="00DD576A"/>
    <w:rsid w:val="00DD7E2E"/>
    <w:rsid w:val="00DE15B6"/>
    <w:rsid w:val="00DF0273"/>
    <w:rsid w:val="00DF1050"/>
    <w:rsid w:val="00DF13CE"/>
    <w:rsid w:val="00DF4282"/>
    <w:rsid w:val="00DF566F"/>
    <w:rsid w:val="00DF645D"/>
    <w:rsid w:val="00DF6E05"/>
    <w:rsid w:val="00DF7F7D"/>
    <w:rsid w:val="00E02AD6"/>
    <w:rsid w:val="00E06BED"/>
    <w:rsid w:val="00E0787B"/>
    <w:rsid w:val="00E103C5"/>
    <w:rsid w:val="00E10E83"/>
    <w:rsid w:val="00E122F4"/>
    <w:rsid w:val="00E12A7F"/>
    <w:rsid w:val="00E30757"/>
    <w:rsid w:val="00E368B2"/>
    <w:rsid w:val="00E52114"/>
    <w:rsid w:val="00E55474"/>
    <w:rsid w:val="00E570CC"/>
    <w:rsid w:val="00E5713D"/>
    <w:rsid w:val="00E631F9"/>
    <w:rsid w:val="00E91ACF"/>
    <w:rsid w:val="00E93E10"/>
    <w:rsid w:val="00EA71B6"/>
    <w:rsid w:val="00EB1B5D"/>
    <w:rsid w:val="00EC2603"/>
    <w:rsid w:val="00ED1B31"/>
    <w:rsid w:val="00EE0DDD"/>
    <w:rsid w:val="00EE452C"/>
    <w:rsid w:val="00EE5A8A"/>
    <w:rsid w:val="00EE72FB"/>
    <w:rsid w:val="00EF5BF0"/>
    <w:rsid w:val="00F27EBA"/>
    <w:rsid w:val="00F32B75"/>
    <w:rsid w:val="00F331AE"/>
    <w:rsid w:val="00F40BCE"/>
    <w:rsid w:val="00F43ABC"/>
    <w:rsid w:val="00F44839"/>
    <w:rsid w:val="00F44AFE"/>
    <w:rsid w:val="00F50974"/>
    <w:rsid w:val="00F55151"/>
    <w:rsid w:val="00F573A9"/>
    <w:rsid w:val="00F607EF"/>
    <w:rsid w:val="00F60872"/>
    <w:rsid w:val="00F612BB"/>
    <w:rsid w:val="00F61DD7"/>
    <w:rsid w:val="00F649DC"/>
    <w:rsid w:val="00F65F49"/>
    <w:rsid w:val="00F72EF6"/>
    <w:rsid w:val="00F74449"/>
    <w:rsid w:val="00F74801"/>
    <w:rsid w:val="00F82CB1"/>
    <w:rsid w:val="00F91CCE"/>
    <w:rsid w:val="00F964B7"/>
    <w:rsid w:val="00FA04C1"/>
    <w:rsid w:val="00FA2002"/>
    <w:rsid w:val="00FB014F"/>
    <w:rsid w:val="00FB061F"/>
    <w:rsid w:val="00FB0778"/>
    <w:rsid w:val="00FB7C2E"/>
    <w:rsid w:val="00FC006C"/>
    <w:rsid w:val="00FC0BB9"/>
    <w:rsid w:val="00FC2FCE"/>
    <w:rsid w:val="00FC3C73"/>
    <w:rsid w:val="00FD531A"/>
    <w:rsid w:val="00FE19CD"/>
    <w:rsid w:val="00FE19D9"/>
    <w:rsid w:val="00FE1C16"/>
    <w:rsid w:val="00FE1E3C"/>
    <w:rsid w:val="00FE2346"/>
    <w:rsid w:val="00FE2E77"/>
    <w:rsid w:val="00FE4879"/>
    <w:rsid w:val="00FE4D3C"/>
    <w:rsid w:val="00FE4FF0"/>
    <w:rsid w:val="00FF1C1C"/>
    <w:rsid w:val="00FF2BC9"/>
    <w:rsid w:val="00FF3772"/>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C25FE"/>
  <w14:defaultImageDpi w14:val="32767"/>
  <w15:chartTrackingRefBased/>
  <w15:docId w15:val="{8BCE5A2D-DDC4-6D49-B3D9-2FCD11A2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Heading2"/>
    <w:link w:val="Heading1Char1"/>
    <w:qFormat/>
    <w:rsid w:val="00A04EF2"/>
    <w:pPr>
      <w:spacing w:before="240"/>
      <w:outlineLvl w:val="0"/>
    </w:pPr>
    <w:rPr>
      <w:b/>
      <w:color w:val="FF0000"/>
    </w:rPr>
  </w:style>
  <w:style w:type="paragraph" w:styleId="Heading2">
    <w:name w:val="heading 2"/>
    <w:basedOn w:val="Normal"/>
    <w:link w:val="Heading2Char"/>
    <w:qFormat/>
    <w:rsid w:val="00A04EF2"/>
    <w:pPr>
      <w:spacing w:before="240"/>
      <w:outlineLvl w:val="1"/>
    </w:pPr>
  </w:style>
  <w:style w:type="paragraph" w:styleId="Heading3">
    <w:name w:val="heading 3"/>
    <w:basedOn w:val="Normal"/>
    <w:link w:val="Heading3Char"/>
    <w:qFormat/>
    <w:rsid w:val="00A04EF2"/>
    <w:pPr>
      <w:spacing w:before="240"/>
      <w:outlineLvl w:val="2"/>
    </w:pPr>
    <w:rPr>
      <w:sz w:val="20"/>
    </w:rPr>
  </w:style>
  <w:style w:type="paragraph" w:styleId="Heading4">
    <w:name w:val="heading 4"/>
    <w:basedOn w:val="Normal"/>
    <w:qFormat/>
    <w:rsid w:val="00A04EF2"/>
    <w:pPr>
      <w:keepNext/>
      <w:spacing w:before="240"/>
      <w:outlineLvl w:val="3"/>
    </w:pPr>
    <w:rPr>
      <w:sz w:val="20"/>
    </w:rPr>
  </w:style>
  <w:style w:type="paragraph" w:styleId="Heading5">
    <w:name w:val="heading 5"/>
    <w:basedOn w:val="Normal"/>
    <w:next w:val="Normal"/>
    <w:qFormat/>
    <w:rsid w:val="00A04EF2"/>
    <w:pPr>
      <w:spacing w:before="240" w:after="60"/>
      <w:outlineLvl w:val="4"/>
    </w:pPr>
    <w:rPr>
      <w:rFonts w:ascii="Arial" w:hAnsi="Arial"/>
      <w:sz w:val="22"/>
    </w:rPr>
  </w:style>
  <w:style w:type="paragraph" w:styleId="Heading6">
    <w:name w:val="heading 6"/>
    <w:basedOn w:val="Normal"/>
    <w:next w:val="Normal"/>
    <w:qFormat/>
    <w:rsid w:val="00A04EF2"/>
    <w:pPr>
      <w:spacing w:before="240" w:after="60"/>
      <w:outlineLvl w:val="5"/>
    </w:pPr>
    <w:rPr>
      <w:i/>
      <w:sz w:val="22"/>
    </w:rPr>
  </w:style>
  <w:style w:type="paragraph" w:styleId="Heading7">
    <w:name w:val="heading 7"/>
    <w:basedOn w:val="Normal"/>
    <w:next w:val="Normal"/>
    <w:qFormat/>
    <w:rsid w:val="00A04EF2"/>
    <w:pPr>
      <w:spacing w:before="240" w:after="60"/>
      <w:outlineLvl w:val="6"/>
    </w:pPr>
    <w:rPr>
      <w:rFonts w:ascii="Arial" w:hAnsi="Arial"/>
      <w:sz w:val="20"/>
    </w:rPr>
  </w:style>
  <w:style w:type="paragraph" w:styleId="Heading8">
    <w:name w:val="heading 8"/>
    <w:basedOn w:val="Normal"/>
    <w:next w:val="Normal"/>
    <w:qFormat/>
    <w:rsid w:val="00A04EF2"/>
    <w:pPr>
      <w:spacing w:before="240" w:after="60"/>
      <w:outlineLvl w:val="7"/>
    </w:pPr>
    <w:rPr>
      <w:rFonts w:ascii="Arial" w:hAnsi="Arial"/>
      <w:i/>
      <w:sz w:val="20"/>
    </w:rPr>
  </w:style>
  <w:style w:type="paragraph" w:styleId="Heading9">
    <w:name w:val="heading 9"/>
    <w:basedOn w:val="Normal"/>
    <w:next w:val="Normal"/>
    <w:qFormat/>
    <w:rsid w:val="00A04EF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rPr>
      <w:sz w:val="20"/>
    </w:rPr>
  </w:style>
  <w:style w:type="paragraph" w:customStyle="1" w:styleId="Text">
    <w:name w:val="Text"/>
    <w:basedOn w:val="Normal"/>
    <w:pPr>
      <w:tabs>
        <w:tab w:val="left" w:pos="283"/>
      </w:tabs>
      <w:spacing w:after="280" w:line="280" w:lineRule="exact"/>
    </w:pPr>
    <w:rP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
    <w:name w:val="Body Text"/>
    <w:basedOn w:val="Normal"/>
    <w:pPr>
      <w:jc w:val="left"/>
    </w:pPr>
    <w:rPr>
      <w:color w:val="FF0000"/>
    </w:rPr>
  </w:style>
  <w:style w:type="paragraph" w:styleId="TOC1">
    <w:name w:val="toc 1"/>
    <w:basedOn w:val="Normal"/>
    <w:next w:val="Normal"/>
    <w:autoRedefine/>
    <w:qFormat/>
  </w:style>
  <w:style w:type="paragraph" w:styleId="TOC2">
    <w:name w:val="toc 2"/>
    <w:basedOn w:val="Normal"/>
    <w:next w:val="Normal"/>
    <w:autoRedefine/>
    <w:qFormat/>
    <w:pPr>
      <w:spacing w:before="240"/>
    </w:pPr>
    <w:rPr>
      <w:b/>
    </w:rPr>
  </w:style>
  <w:style w:type="paragraph" w:styleId="TOC3">
    <w:name w:val="toc 3"/>
    <w:basedOn w:val="Normal"/>
    <w:next w:val="Normal"/>
    <w:autoRedefine/>
    <w:qFormat/>
    <w:pPr>
      <w:ind w:left="480"/>
    </w:pPr>
  </w:style>
  <w:style w:type="paragraph" w:styleId="TOC4">
    <w:name w:val="toc 4"/>
    <w:basedOn w:val="Normal"/>
    <w:next w:val="Normal"/>
    <w:autoRedefine/>
    <w:qFormat/>
    <w:pPr>
      <w:ind w:left="720"/>
    </w:pPr>
  </w:style>
  <w:style w:type="paragraph" w:styleId="TOC5">
    <w:name w:val="toc 5"/>
    <w:basedOn w:val="Normal"/>
    <w:next w:val="Normal"/>
    <w:autoRedefine/>
    <w:qFormat/>
    <w:pPr>
      <w:ind w:left="960"/>
    </w:pPr>
  </w:style>
  <w:style w:type="paragraph" w:styleId="TOC6">
    <w:name w:val="toc 6"/>
    <w:basedOn w:val="Normal"/>
    <w:next w:val="Normal"/>
    <w:autoRedefine/>
    <w:qFormat/>
    <w:pPr>
      <w:ind w:left="1200"/>
    </w:pPr>
  </w:style>
  <w:style w:type="paragraph" w:styleId="TOC7">
    <w:name w:val="toc 7"/>
    <w:basedOn w:val="Normal"/>
    <w:next w:val="Normal"/>
    <w:autoRedefine/>
    <w:qFormat/>
    <w:pPr>
      <w:ind w:left="1440"/>
    </w:pPr>
  </w:style>
  <w:style w:type="paragraph" w:styleId="TOC8">
    <w:name w:val="toc 8"/>
    <w:basedOn w:val="Normal"/>
    <w:next w:val="Normal"/>
    <w:autoRedefine/>
    <w:qFormat/>
    <w:pPr>
      <w:ind w:left="1680"/>
    </w:pPr>
  </w:style>
  <w:style w:type="paragraph" w:styleId="TOC9">
    <w:name w:val="toc 9"/>
    <w:basedOn w:val="Normal"/>
    <w:next w:val="Normal"/>
    <w:autoRedefine/>
    <w:qFormat/>
    <w:pPr>
      <w:ind w:left="1920"/>
    </w:pPr>
  </w:style>
  <w:style w:type="paragraph" w:styleId="DocumentMap">
    <w:name w:val="Document Map"/>
    <w:basedOn w:val="Normal"/>
    <w:semiHidden/>
    <w:pPr>
      <w:shd w:val="clear" w:color="auto" w:fill="000080"/>
    </w:pPr>
    <w:rPr>
      <w:rFonts w:ascii="Tahoma" w:hAnsi="Tahoma" w:cs="Tahoma"/>
      <w:szCs w:val="72"/>
    </w:rPr>
  </w:style>
  <w:style w:type="paragraph" w:customStyle="1" w:styleId="Heading2x">
    <w:name w:val="Heading 2x"/>
    <w:basedOn w:val="Heading2"/>
    <w:next w:val="Heading2xi"/>
    <w:rsid w:val="00E103C5"/>
    <w:rPr>
      <w:b/>
      <w:color w:val="FF0000"/>
    </w:rPr>
  </w:style>
  <w:style w:type="paragraph" w:customStyle="1" w:styleId="Heading2xi">
    <w:name w:val="Heading 2xi"/>
    <w:basedOn w:val="Heading2"/>
    <w:rsid w:val="00E103C5"/>
    <w:rPr>
      <w:i/>
    </w:rPr>
  </w:style>
  <w:style w:type="paragraph" w:customStyle="1" w:styleId="Heading21">
    <w:name w:val="Heading 21"/>
    <w:basedOn w:val="Normal"/>
    <w:pPr>
      <w:tabs>
        <w:tab w:val="left" w:pos="567"/>
      </w:tabs>
      <w:spacing w:after="360" w:line="480" w:lineRule="exact"/>
    </w:pPr>
    <w:rPr>
      <w:sz w:val="36"/>
    </w:rPr>
  </w:style>
  <w:style w:type="paragraph" w:styleId="BodyText2">
    <w:name w:val="Body Text 2"/>
    <w:basedOn w:val="Normal"/>
    <w:pPr>
      <w:spacing w:after="120"/>
    </w:pPr>
    <w:rPr>
      <w:rFonts w:ascii="Arial" w:hAnsi="Arial"/>
      <w:sz w:val="20"/>
    </w:rPr>
  </w:style>
  <w:style w:type="paragraph" w:styleId="PlainText">
    <w:name w:val="Plain Text"/>
    <w:basedOn w:val="Normal"/>
    <w:rPr>
      <w:rFonts w:ascii="Courier New" w:hAnsi="Courier New"/>
      <w:sz w:val="20"/>
    </w:rPr>
  </w:style>
  <w:style w:type="paragraph" w:styleId="NoteHeading">
    <w:name w:val="Note Heading"/>
    <w:aliases w:val="Note Heading Char Char Char Char Char Char"/>
    <w:basedOn w:val="Normal"/>
    <w:next w:val="Normal"/>
    <w:rsid w:val="00EE72FB"/>
    <w:pPr>
      <w:spacing w:before="240"/>
    </w:pPr>
    <w:rPr>
      <w:rFonts w:ascii="Arial" w:hAnsi="Arial"/>
      <w:b/>
      <w:sz w:val="20"/>
    </w:rPr>
  </w:style>
  <w:style w:type="character" w:customStyle="1" w:styleId="Heading1Char1">
    <w:name w:val="Heading 1 Char1"/>
    <w:link w:val="Heading1"/>
    <w:rsid w:val="00EE72FB"/>
    <w:rPr>
      <w:b/>
      <w:color w:val="FF0000"/>
      <w:sz w:val="24"/>
    </w:rPr>
  </w:style>
  <w:style w:type="character" w:customStyle="1" w:styleId="SDNotesChar">
    <w:name w:val="SD Notes Char"/>
    <w:link w:val="SDNotes"/>
    <w:rsid w:val="005C0C52"/>
    <w:rPr>
      <w:rFonts w:ascii="Arial" w:hAnsi="Arial" w:cs="Arial"/>
      <w:lang w:val="en-GB" w:eastAsia="en-US" w:bidi="ar-SA"/>
    </w:rPr>
  </w:style>
  <w:style w:type="paragraph" w:customStyle="1" w:styleId="StyleBodyText2Before12pt">
    <w:name w:val="Style Body Text 2 + Before:  12 pt"/>
    <w:basedOn w:val="BodyText2"/>
    <w:pPr>
      <w:spacing w:before="240" w:after="240"/>
    </w:pPr>
  </w:style>
  <w:style w:type="character" w:customStyle="1" w:styleId="Heading1Char">
    <w:name w:val="Heading 1 Char"/>
    <w:locked/>
    <w:rsid w:val="00065229"/>
    <w:rPr>
      <w:rFonts w:ascii="Times New Roman" w:hAnsi="Times New Roman" w:cs="Times New Roman"/>
      <w:b/>
      <w:color w:val="FF0000"/>
      <w:sz w:val="20"/>
      <w:szCs w:val="20"/>
    </w:rPr>
  </w:style>
  <w:style w:type="paragraph" w:styleId="BodyText3">
    <w:name w:val="Body Text 3"/>
    <w:basedOn w:val="Normal"/>
    <w:pPr>
      <w:spacing w:after="120"/>
    </w:pPr>
    <w:rPr>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2">
    <w:name w:val="Style2"/>
    <w:basedOn w:val="Normal"/>
    <w:pPr>
      <w:keepNext/>
      <w:outlineLvl w:val="1"/>
    </w:pPr>
    <w:rPr>
      <w:b/>
      <w:sz w:val="40"/>
    </w:rPr>
  </w:style>
  <w:style w:type="character" w:styleId="FollowedHyperlink">
    <w:name w:val="FollowedHyperlink"/>
    <w:rPr>
      <w:color w:val="800080"/>
      <w:u w:val="single"/>
    </w:rPr>
  </w:style>
  <w:style w:type="character" w:customStyle="1" w:styleId="Heading2Char">
    <w:name w:val="Heading 2 Char"/>
    <w:link w:val="Heading2"/>
    <w:locked/>
    <w:rsid w:val="00065229"/>
    <w:rPr>
      <w:sz w:val="24"/>
    </w:rPr>
  </w:style>
  <w:style w:type="paragraph" w:styleId="BodyTextIndent">
    <w:name w:val="Body Text Indent"/>
    <w:basedOn w:val="Normal"/>
    <w:pPr>
      <w:spacing w:after="120"/>
      <w:ind w:left="283"/>
    </w:pPr>
  </w:style>
  <w:style w:type="character" w:customStyle="1" w:styleId="Heading3Char">
    <w:name w:val="Heading 3 Char"/>
    <w:link w:val="Heading3"/>
    <w:locked/>
    <w:rsid w:val="00065229"/>
  </w:style>
  <w:style w:type="paragraph" w:customStyle="1" w:styleId="SDNotes">
    <w:name w:val="SD Notes"/>
    <w:basedOn w:val="Normal"/>
    <w:link w:val="SDNotesChar"/>
    <w:rsid w:val="00772BF0"/>
    <w:pPr>
      <w:spacing w:before="200"/>
      <w:ind w:left="720" w:hanging="720"/>
    </w:pPr>
    <w:rPr>
      <w:rFonts w:ascii="Arial" w:hAnsi="Arial" w:cs="Arial"/>
      <w:sz w:val="20"/>
    </w:rPr>
  </w:style>
  <w:style w:type="paragraph" w:customStyle="1" w:styleId="Quotation">
    <w:name w:val="Quotation"/>
    <w:basedOn w:val="Normal"/>
    <w:next w:val="Heading2"/>
    <w:rsid w:val="000B641F"/>
    <w:pPr>
      <w:ind w:left="720"/>
    </w:pPr>
    <w:rPr>
      <w:sz w:val="20"/>
    </w:rPr>
  </w:style>
  <w:style w:type="paragraph" w:styleId="EnvelopeAddress">
    <w:name w:val="envelope address"/>
    <w:basedOn w:val="Normal"/>
    <w:rsid w:val="00FC0BB9"/>
    <w:pPr>
      <w:framePr w:w="7920" w:h="1980" w:hRule="exact" w:hSpace="180" w:wrap="auto" w:hAnchor="page" w:xAlign="center" w:yAlign="bottom"/>
      <w:ind w:left="2880"/>
    </w:pPr>
    <w:rPr>
      <w:rFonts w:ascii="CG Omega" w:hAnsi="CG Omega"/>
    </w:rPr>
  </w:style>
  <w:style w:type="paragraph" w:styleId="NormalWeb">
    <w:name w:val="Normal (Web)"/>
    <w:basedOn w:val="Normal"/>
    <w:uiPriority w:val="99"/>
    <w:unhideWhenUsed/>
    <w:rsid w:val="00DF1050"/>
    <w:pPr>
      <w:spacing w:before="100" w:beforeAutospacing="1" w:after="100" w:afterAutospacing="1"/>
      <w:jc w:val="left"/>
    </w:pPr>
    <w:rPr>
      <w:szCs w:val="24"/>
    </w:rPr>
  </w:style>
  <w:style w:type="paragraph" w:styleId="ListParagraph">
    <w:name w:val="List Paragraph"/>
    <w:basedOn w:val="Normal"/>
    <w:uiPriority w:val="34"/>
    <w:qFormat/>
    <w:rsid w:val="008D2289"/>
    <w:pPr>
      <w:ind w:left="720"/>
      <w:contextualSpacing/>
      <w:jc w:val="left"/>
    </w:pPr>
    <w:rPr>
      <w:szCs w:val="24"/>
    </w:rPr>
  </w:style>
  <w:style w:type="paragraph" w:customStyle="1" w:styleId="legclearfix">
    <w:name w:val="legclearfix"/>
    <w:basedOn w:val="Normal"/>
    <w:rsid w:val="008D2289"/>
    <w:pPr>
      <w:spacing w:before="100" w:beforeAutospacing="1" w:after="100" w:afterAutospacing="1"/>
      <w:jc w:val="left"/>
    </w:pPr>
    <w:rPr>
      <w:szCs w:val="24"/>
      <w:lang w:eastAsia="en-GB"/>
    </w:rPr>
  </w:style>
  <w:style w:type="character" w:customStyle="1" w:styleId="legds">
    <w:name w:val="legds"/>
    <w:basedOn w:val="DefaultParagraphFont"/>
    <w:rsid w:val="008D2289"/>
  </w:style>
  <w:style w:type="character" w:customStyle="1" w:styleId="legsubstitution">
    <w:name w:val="legsubstitution"/>
    <w:basedOn w:val="DefaultParagraphFont"/>
    <w:rsid w:val="008D2289"/>
  </w:style>
  <w:style w:type="character" w:customStyle="1" w:styleId="legchangedelimiter">
    <w:name w:val="legchangedelimiter"/>
    <w:basedOn w:val="DefaultParagraphFont"/>
    <w:rsid w:val="008D2289"/>
  </w:style>
  <w:style w:type="character" w:customStyle="1" w:styleId="apple-converted-space">
    <w:name w:val="apple-converted-space"/>
    <w:basedOn w:val="DefaultParagraphFont"/>
    <w:rsid w:val="005C1372"/>
  </w:style>
  <w:style w:type="paragraph" w:styleId="Revision">
    <w:name w:val="Revision"/>
    <w:hidden/>
    <w:uiPriority w:val="99"/>
    <w:semiHidden/>
    <w:rsid w:val="000665E1"/>
    <w:rPr>
      <w:sz w:val="24"/>
    </w:rPr>
  </w:style>
  <w:style w:type="paragraph" w:customStyle="1" w:styleId="Default">
    <w:name w:val="Default"/>
    <w:rsid w:val="00994286"/>
    <w:pPr>
      <w:autoSpaceDE w:val="0"/>
      <w:autoSpaceDN w:val="0"/>
      <w:adjustRightInd w:val="0"/>
    </w:pPr>
    <w:rPr>
      <w:rFonts w:ascii="Arial" w:eastAsiaTheme="minorHAnsi" w:hAnsi="Arial" w:cs="Arial"/>
      <w:color w:val="000000"/>
      <w:sz w:val="24"/>
      <w:szCs w:val="24"/>
      <w14:ligatures w14:val="standardContextual"/>
    </w:rPr>
  </w:style>
  <w:style w:type="character" w:customStyle="1" w:styleId="legaddition">
    <w:name w:val="legaddition"/>
    <w:basedOn w:val="DefaultParagraphFont"/>
    <w:rsid w:val="00994286"/>
  </w:style>
  <w:style w:type="paragraph" w:customStyle="1" w:styleId="legrhs">
    <w:name w:val="legrhs"/>
    <w:basedOn w:val="Normal"/>
    <w:rsid w:val="0091188A"/>
    <w:pPr>
      <w:spacing w:before="100" w:beforeAutospacing="1" w:after="100" w:afterAutospacing="1"/>
      <w:jc w:val="left"/>
    </w:pPr>
    <w:rPr>
      <w:szCs w:val="24"/>
      <w:lang w:eastAsia="en-GB"/>
    </w:rPr>
  </w:style>
  <w:style w:type="character" w:customStyle="1" w:styleId="counderline">
    <w:name w:val="co_underline"/>
    <w:basedOn w:val="DefaultParagraphFont"/>
    <w:rsid w:val="00F32B75"/>
  </w:style>
  <w:style w:type="character" w:customStyle="1" w:styleId="coitalic">
    <w:name w:val="co_italic"/>
    <w:basedOn w:val="DefaultParagraphFont"/>
    <w:rsid w:val="00F32B75"/>
  </w:style>
  <w:style w:type="paragraph" w:customStyle="1" w:styleId="p1">
    <w:name w:val="p1"/>
    <w:basedOn w:val="Normal"/>
    <w:rsid w:val="0095701B"/>
    <w:pPr>
      <w:jc w:val="left"/>
    </w:pPr>
    <w:rPr>
      <w:color w:val="000000"/>
      <w:sz w:val="18"/>
      <w:szCs w:val="18"/>
      <w:lang w:eastAsia="en-GB"/>
    </w:rPr>
  </w:style>
  <w:style w:type="character" w:customStyle="1" w:styleId="s1">
    <w:name w:val="s1"/>
    <w:basedOn w:val="DefaultParagraphFont"/>
    <w:rsid w:val="00873D04"/>
    <w:rPr>
      <w:color w:val="386573"/>
    </w:rPr>
  </w:style>
  <w:style w:type="character" w:customStyle="1" w:styleId="s2">
    <w:name w:val="s2"/>
    <w:basedOn w:val="DefaultParagraphFont"/>
    <w:rsid w:val="001D69AF"/>
    <w:rPr>
      <w:color w:val="7B0E15"/>
    </w:rPr>
  </w:style>
  <w:style w:type="character" w:customStyle="1" w:styleId="s3">
    <w:name w:val="s3"/>
    <w:basedOn w:val="DefaultParagraphFont"/>
    <w:rsid w:val="001D69AF"/>
    <w:rPr>
      <w:rFonts w:ascii="Helvetica" w:hAnsi="Helvetica" w:hint="default"/>
      <w:sz w:val="18"/>
      <w:szCs w:val="18"/>
    </w:rPr>
  </w:style>
  <w:style w:type="character" w:customStyle="1" w:styleId="s4">
    <w:name w:val="s4"/>
    <w:basedOn w:val="DefaultParagraphFont"/>
    <w:rsid w:val="001D69AF"/>
    <w:rPr>
      <w:rFonts w:ascii="Arial" w:hAnsi="Arial" w:cs="Arial"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96">
      <w:bodyDiv w:val="1"/>
      <w:marLeft w:val="0"/>
      <w:marRight w:val="0"/>
      <w:marTop w:val="0"/>
      <w:marBottom w:val="0"/>
      <w:divBdr>
        <w:top w:val="none" w:sz="0" w:space="0" w:color="auto"/>
        <w:left w:val="none" w:sz="0" w:space="0" w:color="auto"/>
        <w:bottom w:val="none" w:sz="0" w:space="0" w:color="auto"/>
        <w:right w:val="none" w:sz="0" w:space="0" w:color="auto"/>
      </w:divBdr>
      <w:divsChild>
        <w:div w:id="518474510">
          <w:marLeft w:val="0"/>
          <w:marRight w:val="0"/>
          <w:marTop w:val="0"/>
          <w:marBottom w:val="0"/>
          <w:divBdr>
            <w:top w:val="none" w:sz="0" w:space="0" w:color="auto"/>
            <w:left w:val="none" w:sz="0" w:space="0" w:color="auto"/>
            <w:bottom w:val="none" w:sz="0" w:space="0" w:color="auto"/>
            <w:right w:val="none" w:sz="0" w:space="0" w:color="auto"/>
          </w:divBdr>
          <w:divsChild>
            <w:div w:id="1054935965">
              <w:marLeft w:val="0"/>
              <w:marRight w:val="0"/>
              <w:marTop w:val="0"/>
              <w:marBottom w:val="0"/>
              <w:divBdr>
                <w:top w:val="none" w:sz="0" w:space="0" w:color="auto"/>
                <w:left w:val="none" w:sz="0" w:space="0" w:color="auto"/>
                <w:bottom w:val="none" w:sz="0" w:space="0" w:color="auto"/>
                <w:right w:val="none" w:sz="0" w:space="0" w:color="auto"/>
              </w:divBdr>
              <w:divsChild>
                <w:div w:id="1271012952">
                  <w:marLeft w:val="0"/>
                  <w:marRight w:val="0"/>
                  <w:marTop w:val="0"/>
                  <w:marBottom w:val="0"/>
                  <w:divBdr>
                    <w:top w:val="none" w:sz="0" w:space="0" w:color="auto"/>
                    <w:left w:val="none" w:sz="0" w:space="0" w:color="auto"/>
                    <w:bottom w:val="none" w:sz="0" w:space="0" w:color="auto"/>
                    <w:right w:val="none" w:sz="0" w:space="0" w:color="auto"/>
                  </w:divBdr>
                  <w:divsChild>
                    <w:div w:id="1714377939">
                      <w:marLeft w:val="0"/>
                      <w:marRight w:val="0"/>
                      <w:marTop w:val="0"/>
                      <w:marBottom w:val="0"/>
                      <w:divBdr>
                        <w:top w:val="none" w:sz="0" w:space="0" w:color="auto"/>
                        <w:left w:val="none" w:sz="0" w:space="0" w:color="auto"/>
                        <w:bottom w:val="none" w:sz="0" w:space="0" w:color="auto"/>
                        <w:right w:val="none" w:sz="0" w:space="0" w:color="auto"/>
                      </w:divBdr>
                      <w:divsChild>
                        <w:div w:id="3756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0539">
                  <w:marLeft w:val="0"/>
                  <w:marRight w:val="0"/>
                  <w:marTop w:val="0"/>
                  <w:marBottom w:val="0"/>
                  <w:divBdr>
                    <w:top w:val="none" w:sz="0" w:space="0" w:color="auto"/>
                    <w:left w:val="none" w:sz="0" w:space="0" w:color="auto"/>
                    <w:bottom w:val="none" w:sz="0" w:space="0" w:color="auto"/>
                    <w:right w:val="none" w:sz="0" w:space="0" w:color="auto"/>
                  </w:divBdr>
                  <w:divsChild>
                    <w:div w:id="277950766">
                      <w:marLeft w:val="0"/>
                      <w:marRight w:val="0"/>
                      <w:marTop w:val="0"/>
                      <w:marBottom w:val="0"/>
                      <w:divBdr>
                        <w:top w:val="none" w:sz="0" w:space="0" w:color="auto"/>
                        <w:left w:val="none" w:sz="0" w:space="0" w:color="auto"/>
                        <w:bottom w:val="none" w:sz="0" w:space="0" w:color="auto"/>
                        <w:right w:val="none" w:sz="0" w:space="0" w:color="auto"/>
                      </w:divBdr>
                      <w:divsChild>
                        <w:div w:id="8162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362">
              <w:marLeft w:val="0"/>
              <w:marRight w:val="0"/>
              <w:marTop w:val="0"/>
              <w:marBottom w:val="0"/>
              <w:divBdr>
                <w:top w:val="none" w:sz="0" w:space="0" w:color="auto"/>
                <w:left w:val="none" w:sz="0" w:space="0" w:color="auto"/>
                <w:bottom w:val="none" w:sz="0" w:space="0" w:color="auto"/>
                <w:right w:val="none" w:sz="0" w:space="0" w:color="auto"/>
              </w:divBdr>
              <w:divsChild>
                <w:div w:id="3856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3455">
          <w:marLeft w:val="0"/>
          <w:marRight w:val="0"/>
          <w:marTop w:val="0"/>
          <w:marBottom w:val="0"/>
          <w:divBdr>
            <w:top w:val="none" w:sz="0" w:space="0" w:color="auto"/>
            <w:left w:val="none" w:sz="0" w:space="0" w:color="auto"/>
            <w:bottom w:val="none" w:sz="0" w:space="0" w:color="auto"/>
            <w:right w:val="none" w:sz="0" w:space="0" w:color="auto"/>
          </w:divBdr>
          <w:divsChild>
            <w:div w:id="857815864">
              <w:marLeft w:val="0"/>
              <w:marRight w:val="0"/>
              <w:marTop w:val="0"/>
              <w:marBottom w:val="0"/>
              <w:divBdr>
                <w:top w:val="none" w:sz="0" w:space="0" w:color="auto"/>
                <w:left w:val="none" w:sz="0" w:space="0" w:color="auto"/>
                <w:bottom w:val="none" w:sz="0" w:space="0" w:color="auto"/>
                <w:right w:val="none" w:sz="0" w:space="0" w:color="auto"/>
              </w:divBdr>
              <w:divsChild>
                <w:div w:id="1792817044">
                  <w:marLeft w:val="0"/>
                  <w:marRight w:val="0"/>
                  <w:marTop w:val="0"/>
                  <w:marBottom w:val="0"/>
                  <w:divBdr>
                    <w:top w:val="none" w:sz="0" w:space="0" w:color="auto"/>
                    <w:left w:val="none" w:sz="0" w:space="0" w:color="auto"/>
                    <w:bottom w:val="none" w:sz="0" w:space="0" w:color="auto"/>
                    <w:right w:val="none" w:sz="0" w:space="0" w:color="auto"/>
                  </w:divBdr>
                </w:div>
              </w:divsChild>
            </w:div>
            <w:div w:id="770710918">
              <w:marLeft w:val="0"/>
              <w:marRight w:val="0"/>
              <w:marTop w:val="0"/>
              <w:marBottom w:val="0"/>
              <w:divBdr>
                <w:top w:val="none" w:sz="0" w:space="0" w:color="auto"/>
                <w:left w:val="none" w:sz="0" w:space="0" w:color="auto"/>
                <w:bottom w:val="none" w:sz="0" w:space="0" w:color="auto"/>
                <w:right w:val="none" w:sz="0" w:space="0" w:color="auto"/>
              </w:divBdr>
              <w:divsChild>
                <w:div w:id="1338461274">
                  <w:marLeft w:val="0"/>
                  <w:marRight w:val="0"/>
                  <w:marTop w:val="0"/>
                  <w:marBottom w:val="0"/>
                  <w:divBdr>
                    <w:top w:val="none" w:sz="0" w:space="0" w:color="auto"/>
                    <w:left w:val="none" w:sz="0" w:space="0" w:color="auto"/>
                    <w:bottom w:val="none" w:sz="0" w:space="0" w:color="auto"/>
                    <w:right w:val="none" w:sz="0" w:space="0" w:color="auto"/>
                  </w:divBdr>
                  <w:divsChild>
                    <w:div w:id="18856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8965">
      <w:bodyDiv w:val="1"/>
      <w:marLeft w:val="0"/>
      <w:marRight w:val="0"/>
      <w:marTop w:val="0"/>
      <w:marBottom w:val="0"/>
      <w:divBdr>
        <w:top w:val="none" w:sz="0" w:space="0" w:color="auto"/>
        <w:left w:val="none" w:sz="0" w:space="0" w:color="auto"/>
        <w:bottom w:val="none" w:sz="0" w:space="0" w:color="auto"/>
        <w:right w:val="none" w:sz="0" w:space="0" w:color="auto"/>
      </w:divBdr>
    </w:div>
    <w:div w:id="143549211">
      <w:bodyDiv w:val="1"/>
      <w:marLeft w:val="0"/>
      <w:marRight w:val="0"/>
      <w:marTop w:val="0"/>
      <w:marBottom w:val="0"/>
      <w:divBdr>
        <w:top w:val="none" w:sz="0" w:space="0" w:color="auto"/>
        <w:left w:val="none" w:sz="0" w:space="0" w:color="auto"/>
        <w:bottom w:val="none" w:sz="0" w:space="0" w:color="auto"/>
        <w:right w:val="none" w:sz="0" w:space="0" w:color="auto"/>
      </w:divBdr>
    </w:div>
    <w:div w:id="331687373">
      <w:bodyDiv w:val="1"/>
      <w:marLeft w:val="0"/>
      <w:marRight w:val="0"/>
      <w:marTop w:val="0"/>
      <w:marBottom w:val="0"/>
      <w:divBdr>
        <w:top w:val="none" w:sz="0" w:space="0" w:color="auto"/>
        <w:left w:val="none" w:sz="0" w:space="0" w:color="auto"/>
        <w:bottom w:val="none" w:sz="0" w:space="0" w:color="auto"/>
        <w:right w:val="none" w:sz="0" w:space="0" w:color="auto"/>
      </w:divBdr>
      <w:divsChild>
        <w:div w:id="627249316">
          <w:marLeft w:val="0"/>
          <w:marRight w:val="0"/>
          <w:marTop w:val="0"/>
          <w:marBottom w:val="0"/>
          <w:divBdr>
            <w:top w:val="none" w:sz="0" w:space="0" w:color="auto"/>
            <w:left w:val="none" w:sz="0" w:space="0" w:color="auto"/>
            <w:bottom w:val="none" w:sz="0" w:space="0" w:color="auto"/>
            <w:right w:val="none" w:sz="0" w:space="0" w:color="auto"/>
          </w:divBdr>
          <w:divsChild>
            <w:div w:id="2004116200">
              <w:marLeft w:val="0"/>
              <w:marRight w:val="0"/>
              <w:marTop w:val="0"/>
              <w:marBottom w:val="0"/>
              <w:divBdr>
                <w:top w:val="none" w:sz="0" w:space="0" w:color="auto"/>
                <w:left w:val="none" w:sz="0" w:space="0" w:color="auto"/>
                <w:bottom w:val="none" w:sz="0" w:space="0" w:color="auto"/>
                <w:right w:val="none" w:sz="0" w:space="0" w:color="auto"/>
              </w:divBdr>
              <w:divsChild>
                <w:div w:id="515077028">
                  <w:marLeft w:val="0"/>
                  <w:marRight w:val="0"/>
                  <w:marTop w:val="0"/>
                  <w:marBottom w:val="0"/>
                  <w:divBdr>
                    <w:top w:val="none" w:sz="0" w:space="0" w:color="auto"/>
                    <w:left w:val="none" w:sz="0" w:space="0" w:color="auto"/>
                    <w:bottom w:val="none" w:sz="0" w:space="0" w:color="auto"/>
                    <w:right w:val="none" w:sz="0" w:space="0" w:color="auto"/>
                  </w:divBdr>
                </w:div>
              </w:divsChild>
            </w:div>
            <w:div w:id="1913932861">
              <w:marLeft w:val="0"/>
              <w:marRight w:val="0"/>
              <w:marTop w:val="0"/>
              <w:marBottom w:val="0"/>
              <w:divBdr>
                <w:top w:val="none" w:sz="0" w:space="0" w:color="auto"/>
                <w:left w:val="none" w:sz="0" w:space="0" w:color="auto"/>
                <w:bottom w:val="none" w:sz="0" w:space="0" w:color="auto"/>
                <w:right w:val="none" w:sz="0" w:space="0" w:color="auto"/>
              </w:divBdr>
              <w:divsChild>
                <w:div w:id="146554657">
                  <w:marLeft w:val="0"/>
                  <w:marRight w:val="0"/>
                  <w:marTop w:val="0"/>
                  <w:marBottom w:val="0"/>
                  <w:divBdr>
                    <w:top w:val="none" w:sz="0" w:space="0" w:color="auto"/>
                    <w:left w:val="none" w:sz="0" w:space="0" w:color="auto"/>
                    <w:bottom w:val="none" w:sz="0" w:space="0" w:color="auto"/>
                    <w:right w:val="none" w:sz="0" w:space="0" w:color="auto"/>
                  </w:divBdr>
                </w:div>
              </w:divsChild>
            </w:div>
            <w:div w:id="1821313009">
              <w:marLeft w:val="0"/>
              <w:marRight w:val="0"/>
              <w:marTop w:val="0"/>
              <w:marBottom w:val="0"/>
              <w:divBdr>
                <w:top w:val="none" w:sz="0" w:space="0" w:color="auto"/>
                <w:left w:val="none" w:sz="0" w:space="0" w:color="auto"/>
                <w:bottom w:val="none" w:sz="0" w:space="0" w:color="auto"/>
                <w:right w:val="none" w:sz="0" w:space="0" w:color="auto"/>
              </w:divBdr>
              <w:divsChild>
                <w:div w:id="14707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0326">
          <w:marLeft w:val="0"/>
          <w:marRight w:val="0"/>
          <w:marTop w:val="0"/>
          <w:marBottom w:val="0"/>
          <w:divBdr>
            <w:top w:val="none" w:sz="0" w:space="0" w:color="auto"/>
            <w:left w:val="none" w:sz="0" w:space="0" w:color="auto"/>
            <w:bottom w:val="none" w:sz="0" w:space="0" w:color="auto"/>
            <w:right w:val="none" w:sz="0" w:space="0" w:color="auto"/>
          </w:divBdr>
          <w:divsChild>
            <w:div w:id="737166172">
              <w:marLeft w:val="0"/>
              <w:marRight w:val="0"/>
              <w:marTop w:val="0"/>
              <w:marBottom w:val="0"/>
              <w:divBdr>
                <w:top w:val="none" w:sz="0" w:space="0" w:color="auto"/>
                <w:left w:val="none" w:sz="0" w:space="0" w:color="auto"/>
                <w:bottom w:val="none" w:sz="0" w:space="0" w:color="auto"/>
                <w:right w:val="none" w:sz="0" w:space="0" w:color="auto"/>
              </w:divBdr>
              <w:divsChild>
                <w:div w:id="20207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0660">
      <w:bodyDiv w:val="1"/>
      <w:marLeft w:val="0"/>
      <w:marRight w:val="0"/>
      <w:marTop w:val="0"/>
      <w:marBottom w:val="0"/>
      <w:divBdr>
        <w:top w:val="none" w:sz="0" w:space="0" w:color="auto"/>
        <w:left w:val="none" w:sz="0" w:space="0" w:color="auto"/>
        <w:bottom w:val="none" w:sz="0" w:space="0" w:color="auto"/>
        <w:right w:val="none" w:sz="0" w:space="0" w:color="auto"/>
      </w:divBdr>
      <w:divsChild>
        <w:div w:id="1707949652">
          <w:marLeft w:val="0"/>
          <w:marRight w:val="0"/>
          <w:marTop w:val="0"/>
          <w:marBottom w:val="0"/>
          <w:divBdr>
            <w:top w:val="none" w:sz="0" w:space="0" w:color="auto"/>
            <w:left w:val="none" w:sz="0" w:space="0" w:color="auto"/>
            <w:bottom w:val="none" w:sz="0" w:space="0" w:color="auto"/>
            <w:right w:val="none" w:sz="0" w:space="0" w:color="auto"/>
          </w:divBdr>
          <w:divsChild>
            <w:div w:id="1092167125">
              <w:marLeft w:val="0"/>
              <w:marRight w:val="0"/>
              <w:marTop w:val="0"/>
              <w:marBottom w:val="0"/>
              <w:divBdr>
                <w:top w:val="none" w:sz="0" w:space="0" w:color="auto"/>
                <w:left w:val="none" w:sz="0" w:space="0" w:color="auto"/>
                <w:bottom w:val="none" w:sz="0" w:space="0" w:color="auto"/>
                <w:right w:val="none" w:sz="0" w:space="0" w:color="auto"/>
              </w:divBdr>
              <w:divsChild>
                <w:div w:id="20488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54029">
      <w:bodyDiv w:val="1"/>
      <w:marLeft w:val="0"/>
      <w:marRight w:val="0"/>
      <w:marTop w:val="0"/>
      <w:marBottom w:val="0"/>
      <w:divBdr>
        <w:top w:val="none" w:sz="0" w:space="0" w:color="auto"/>
        <w:left w:val="none" w:sz="0" w:space="0" w:color="auto"/>
        <w:bottom w:val="none" w:sz="0" w:space="0" w:color="auto"/>
        <w:right w:val="none" w:sz="0" w:space="0" w:color="auto"/>
      </w:divBdr>
      <w:divsChild>
        <w:div w:id="527329769">
          <w:blockQuote w:val="1"/>
          <w:marLeft w:val="0"/>
          <w:marRight w:val="0"/>
          <w:marTop w:val="0"/>
          <w:marBottom w:val="0"/>
          <w:divBdr>
            <w:top w:val="none" w:sz="0" w:space="0" w:color="auto"/>
            <w:left w:val="none" w:sz="0" w:space="0" w:color="auto"/>
            <w:bottom w:val="none" w:sz="0" w:space="0" w:color="auto"/>
            <w:right w:val="none" w:sz="0" w:space="0" w:color="auto"/>
          </w:divBdr>
          <w:divsChild>
            <w:div w:id="1905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2712">
      <w:bodyDiv w:val="1"/>
      <w:marLeft w:val="0"/>
      <w:marRight w:val="0"/>
      <w:marTop w:val="0"/>
      <w:marBottom w:val="0"/>
      <w:divBdr>
        <w:top w:val="none" w:sz="0" w:space="0" w:color="auto"/>
        <w:left w:val="none" w:sz="0" w:space="0" w:color="auto"/>
        <w:bottom w:val="none" w:sz="0" w:space="0" w:color="auto"/>
        <w:right w:val="none" w:sz="0" w:space="0" w:color="auto"/>
      </w:divBdr>
      <w:divsChild>
        <w:div w:id="1169709050">
          <w:marLeft w:val="0"/>
          <w:marRight w:val="0"/>
          <w:marTop w:val="0"/>
          <w:marBottom w:val="0"/>
          <w:divBdr>
            <w:top w:val="none" w:sz="0" w:space="0" w:color="auto"/>
            <w:left w:val="none" w:sz="0" w:space="0" w:color="auto"/>
            <w:bottom w:val="none" w:sz="0" w:space="0" w:color="auto"/>
            <w:right w:val="none" w:sz="0" w:space="0" w:color="auto"/>
          </w:divBdr>
          <w:divsChild>
            <w:div w:id="221839435">
              <w:marLeft w:val="0"/>
              <w:marRight w:val="0"/>
              <w:marTop w:val="0"/>
              <w:marBottom w:val="0"/>
              <w:divBdr>
                <w:top w:val="none" w:sz="0" w:space="0" w:color="auto"/>
                <w:left w:val="none" w:sz="0" w:space="0" w:color="auto"/>
                <w:bottom w:val="none" w:sz="0" w:space="0" w:color="auto"/>
                <w:right w:val="none" w:sz="0" w:space="0" w:color="auto"/>
              </w:divBdr>
              <w:divsChild>
                <w:div w:id="2759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8949">
      <w:bodyDiv w:val="1"/>
      <w:marLeft w:val="0"/>
      <w:marRight w:val="0"/>
      <w:marTop w:val="0"/>
      <w:marBottom w:val="0"/>
      <w:divBdr>
        <w:top w:val="none" w:sz="0" w:space="0" w:color="auto"/>
        <w:left w:val="none" w:sz="0" w:space="0" w:color="auto"/>
        <w:bottom w:val="none" w:sz="0" w:space="0" w:color="auto"/>
        <w:right w:val="none" w:sz="0" w:space="0" w:color="auto"/>
      </w:divBdr>
    </w:div>
    <w:div w:id="1192916287">
      <w:bodyDiv w:val="1"/>
      <w:marLeft w:val="0"/>
      <w:marRight w:val="0"/>
      <w:marTop w:val="0"/>
      <w:marBottom w:val="0"/>
      <w:divBdr>
        <w:top w:val="none" w:sz="0" w:space="0" w:color="auto"/>
        <w:left w:val="none" w:sz="0" w:space="0" w:color="auto"/>
        <w:bottom w:val="none" w:sz="0" w:space="0" w:color="auto"/>
        <w:right w:val="none" w:sz="0" w:space="0" w:color="auto"/>
      </w:divBdr>
    </w:div>
    <w:div w:id="1264413827">
      <w:bodyDiv w:val="1"/>
      <w:marLeft w:val="0"/>
      <w:marRight w:val="0"/>
      <w:marTop w:val="0"/>
      <w:marBottom w:val="0"/>
      <w:divBdr>
        <w:top w:val="none" w:sz="0" w:space="0" w:color="auto"/>
        <w:left w:val="none" w:sz="0" w:space="0" w:color="auto"/>
        <w:bottom w:val="none" w:sz="0" w:space="0" w:color="auto"/>
        <w:right w:val="none" w:sz="0" w:space="0" w:color="auto"/>
      </w:divBdr>
    </w:div>
    <w:div w:id="1422987393">
      <w:bodyDiv w:val="1"/>
      <w:marLeft w:val="0"/>
      <w:marRight w:val="0"/>
      <w:marTop w:val="0"/>
      <w:marBottom w:val="0"/>
      <w:divBdr>
        <w:top w:val="none" w:sz="0" w:space="0" w:color="auto"/>
        <w:left w:val="none" w:sz="0" w:space="0" w:color="auto"/>
        <w:bottom w:val="none" w:sz="0" w:space="0" w:color="auto"/>
        <w:right w:val="none" w:sz="0" w:space="0" w:color="auto"/>
      </w:divBdr>
      <w:divsChild>
        <w:div w:id="46533224">
          <w:marLeft w:val="0"/>
          <w:marRight w:val="0"/>
          <w:marTop w:val="0"/>
          <w:marBottom w:val="0"/>
          <w:divBdr>
            <w:top w:val="none" w:sz="0" w:space="0" w:color="auto"/>
            <w:left w:val="none" w:sz="0" w:space="0" w:color="auto"/>
            <w:bottom w:val="none" w:sz="0" w:space="0" w:color="auto"/>
            <w:right w:val="none" w:sz="0" w:space="0" w:color="auto"/>
          </w:divBdr>
          <w:divsChild>
            <w:div w:id="282540930">
              <w:marLeft w:val="0"/>
              <w:marRight w:val="0"/>
              <w:marTop w:val="0"/>
              <w:marBottom w:val="0"/>
              <w:divBdr>
                <w:top w:val="none" w:sz="0" w:space="0" w:color="auto"/>
                <w:left w:val="none" w:sz="0" w:space="0" w:color="auto"/>
                <w:bottom w:val="none" w:sz="0" w:space="0" w:color="auto"/>
                <w:right w:val="none" w:sz="0" w:space="0" w:color="auto"/>
              </w:divBdr>
              <w:divsChild>
                <w:div w:id="238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5431">
      <w:bodyDiv w:val="1"/>
      <w:marLeft w:val="0"/>
      <w:marRight w:val="0"/>
      <w:marTop w:val="0"/>
      <w:marBottom w:val="0"/>
      <w:divBdr>
        <w:top w:val="none" w:sz="0" w:space="0" w:color="auto"/>
        <w:left w:val="none" w:sz="0" w:space="0" w:color="auto"/>
        <w:bottom w:val="none" w:sz="0" w:space="0" w:color="auto"/>
        <w:right w:val="none" w:sz="0" w:space="0" w:color="auto"/>
      </w:divBdr>
    </w:div>
    <w:div w:id="1512257211">
      <w:bodyDiv w:val="1"/>
      <w:marLeft w:val="0"/>
      <w:marRight w:val="0"/>
      <w:marTop w:val="0"/>
      <w:marBottom w:val="0"/>
      <w:divBdr>
        <w:top w:val="none" w:sz="0" w:space="0" w:color="auto"/>
        <w:left w:val="none" w:sz="0" w:space="0" w:color="auto"/>
        <w:bottom w:val="none" w:sz="0" w:space="0" w:color="auto"/>
        <w:right w:val="none" w:sz="0" w:space="0" w:color="auto"/>
      </w:divBdr>
      <w:divsChild>
        <w:div w:id="1460489931">
          <w:marLeft w:val="0"/>
          <w:marRight w:val="0"/>
          <w:marTop w:val="0"/>
          <w:marBottom w:val="0"/>
          <w:divBdr>
            <w:top w:val="none" w:sz="0" w:space="0" w:color="auto"/>
            <w:left w:val="none" w:sz="0" w:space="0" w:color="auto"/>
            <w:bottom w:val="none" w:sz="0" w:space="0" w:color="auto"/>
            <w:right w:val="none" w:sz="0" w:space="0" w:color="auto"/>
          </w:divBdr>
        </w:div>
      </w:divsChild>
    </w:div>
    <w:div w:id="1658266717">
      <w:bodyDiv w:val="1"/>
      <w:marLeft w:val="0"/>
      <w:marRight w:val="0"/>
      <w:marTop w:val="0"/>
      <w:marBottom w:val="0"/>
      <w:divBdr>
        <w:top w:val="none" w:sz="0" w:space="0" w:color="auto"/>
        <w:left w:val="none" w:sz="0" w:space="0" w:color="auto"/>
        <w:bottom w:val="none" w:sz="0" w:space="0" w:color="auto"/>
        <w:right w:val="none" w:sz="0" w:space="0" w:color="auto"/>
      </w:divBdr>
      <w:divsChild>
        <w:div w:id="1380204094">
          <w:marLeft w:val="0"/>
          <w:marRight w:val="0"/>
          <w:marTop w:val="0"/>
          <w:marBottom w:val="0"/>
          <w:divBdr>
            <w:top w:val="none" w:sz="0" w:space="0" w:color="auto"/>
            <w:left w:val="none" w:sz="0" w:space="0" w:color="auto"/>
            <w:bottom w:val="none" w:sz="0" w:space="0" w:color="auto"/>
            <w:right w:val="none" w:sz="0" w:space="0" w:color="auto"/>
          </w:divBdr>
          <w:divsChild>
            <w:div w:id="132450013">
              <w:marLeft w:val="0"/>
              <w:marRight w:val="0"/>
              <w:marTop w:val="0"/>
              <w:marBottom w:val="0"/>
              <w:divBdr>
                <w:top w:val="none" w:sz="0" w:space="0" w:color="auto"/>
                <w:left w:val="none" w:sz="0" w:space="0" w:color="auto"/>
                <w:bottom w:val="none" w:sz="0" w:space="0" w:color="auto"/>
                <w:right w:val="none" w:sz="0" w:space="0" w:color="auto"/>
              </w:divBdr>
            </w:div>
          </w:divsChild>
        </w:div>
        <w:div w:id="1156727538">
          <w:marLeft w:val="0"/>
          <w:marRight w:val="0"/>
          <w:marTop w:val="0"/>
          <w:marBottom w:val="0"/>
          <w:divBdr>
            <w:top w:val="none" w:sz="0" w:space="0" w:color="auto"/>
            <w:left w:val="none" w:sz="0" w:space="0" w:color="auto"/>
            <w:bottom w:val="none" w:sz="0" w:space="0" w:color="auto"/>
            <w:right w:val="none" w:sz="0" w:space="0" w:color="auto"/>
          </w:divBdr>
          <w:divsChild>
            <w:div w:id="1923761629">
              <w:marLeft w:val="0"/>
              <w:marRight w:val="0"/>
              <w:marTop w:val="0"/>
              <w:marBottom w:val="0"/>
              <w:divBdr>
                <w:top w:val="none" w:sz="0" w:space="0" w:color="auto"/>
                <w:left w:val="none" w:sz="0" w:space="0" w:color="auto"/>
                <w:bottom w:val="none" w:sz="0" w:space="0" w:color="auto"/>
                <w:right w:val="none" w:sz="0" w:space="0" w:color="auto"/>
              </w:divBdr>
            </w:div>
          </w:divsChild>
        </w:div>
        <w:div w:id="1855461320">
          <w:marLeft w:val="0"/>
          <w:marRight w:val="0"/>
          <w:marTop w:val="0"/>
          <w:marBottom w:val="0"/>
          <w:divBdr>
            <w:top w:val="none" w:sz="0" w:space="0" w:color="auto"/>
            <w:left w:val="none" w:sz="0" w:space="0" w:color="auto"/>
            <w:bottom w:val="none" w:sz="0" w:space="0" w:color="auto"/>
            <w:right w:val="none" w:sz="0" w:space="0" w:color="auto"/>
          </w:divBdr>
          <w:divsChild>
            <w:div w:id="19560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310">
      <w:bodyDiv w:val="1"/>
      <w:marLeft w:val="0"/>
      <w:marRight w:val="0"/>
      <w:marTop w:val="0"/>
      <w:marBottom w:val="0"/>
      <w:divBdr>
        <w:top w:val="none" w:sz="0" w:space="0" w:color="auto"/>
        <w:left w:val="none" w:sz="0" w:space="0" w:color="auto"/>
        <w:bottom w:val="none" w:sz="0" w:space="0" w:color="auto"/>
        <w:right w:val="none" w:sz="0" w:space="0" w:color="auto"/>
      </w:divBdr>
      <w:divsChild>
        <w:div w:id="1748727065">
          <w:marLeft w:val="0"/>
          <w:marRight w:val="0"/>
          <w:marTop w:val="0"/>
          <w:marBottom w:val="0"/>
          <w:divBdr>
            <w:top w:val="none" w:sz="0" w:space="0" w:color="auto"/>
            <w:left w:val="none" w:sz="0" w:space="0" w:color="auto"/>
            <w:bottom w:val="none" w:sz="0" w:space="0" w:color="auto"/>
            <w:right w:val="none" w:sz="0" w:space="0" w:color="auto"/>
          </w:divBdr>
          <w:divsChild>
            <w:div w:id="1822849335">
              <w:marLeft w:val="0"/>
              <w:marRight w:val="0"/>
              <w:marTop w:val="0"/>
              <w:marBottom w:val="0"/>
              <w:divBdr>
                <w:top w:val="none" w:sz="0" w:space="0" w:color="auto"/>
                <w:left w:val="none" w:sz="0" w:space="0" w:color="auto"/>
                <w:bottom w:val="none" w:sz="0" w:space="0" w:color="auto"/>
                <w:right w:val="none" w:sz="0" w:space="0" w:color="auto"/>
              </w:divBdr>
              <w:divsChild>
                <w:div w:id="1200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9339">
      <w:bodyDiv w:val="1"/>
      <w:marLeft w:val="0"/>
      <w:marRight w:val="0"/>
      <w:marTop w:val="0"/>
      <w:marBottom w:val="0"/>
      <w:divBdr>
        <w:top w:val="none" w:sz="0" w:space="0" w:color="auto"/>
        <w:left w:val="none" w:sz="0" w:space="0" w:color="auto"/>
        <w:bottom w:val="none" w:sz="0" w:space="0" w:color="auto"/>
        <w:right w:val="none" w:sz="0" w:space="0" w:color="auto"/>
      </w:divBdr>
    </w:div>
    <w:div w:id="1790390660">
      <w:bodyDiv w:val="1"/>
      <w:marLeft w:val="0"/>
      <w:marRight w:val="0"/>
      <w:marTop w:val="0"/>
      <w:marBottom w:val="0"/>
      <w:divBdr>
        <w:top w:val="none" w:sz="0" w:space="0" w:color="auto"/>
        <w:left w:val="none" w:sz="0" w:space="0" w:color="auto"/>
        <w:bottom w:val="none" w:sz="0" w:space="0" w:color="auto"/>
        <w:right w:val="none" w:sz="0" w:space="0" w:color="auto"/>
      </w:divBdr>
    </w:div>
    <w:div w:id="2019388279">
      <w:bodyDiv w:val="1"/>
      <w:marLeft w:val="0"/>
      <w:marRight w:val="0"/>
      <w:marTop w:val="0"/>
      <w:marBottom w:val="0"/>
      <w:divBdr>
        <w:top w:val="none" w:sz="0" w:space="0" w:color="auto"/>
        <w:left w:val="none" w:sz="0" w:space="0" w:color="auto"/>
        <w:bottom w:val="none" w:sz="0" w:space="0" w:color="auto"/>
        <w:right w:val="none" w:sz="0" w:space="0" w:color="auto"/>
      </w:divBdr>
      <w:divsChild>
        <w:div w:id="1709185848">
          <w:marLeft w:val="0"/>
          <w:marRight w:val="0"/>
          <w:marTop w:val="0"/>
          <w:marBottom w:val="0"/>
          <w:divBdr>
            <w:top w:val="none" w:sz="0" w:space="0" w:color="auto"/>
            <w:left w:val="none" w:sz="0" w:space="0" w:color="auto"/>
            <w:bottom w:val="none" w:sz="0" w:space="0" w:color="auto"/>
            <w:right w:val="none" w:sz="0" w:space="0" w:color="auto"/>
          </w:divBdr>
          <w:divsChild>
            <w:div w:id="1589535057">
              <w:marLeft w:val="0"/>
              <w:marRight w:val="0"/>
              <w:marTop w:val="0"/>
              <w:marBottom w:val="0"/>
              <w:divBdr>
                <w:top w:val="none" w:sz="0" w:space="0" w:color="auto"/>
                <w:left w:val="none" w:sz="0" w:space="0" w:color="auto"/>
                <w:bottom w:val="none" w:sz="0" w:space="0" w:color="auto"/>
                <w:right w:val="none" w:sz="0" w:space="0" w:color="auto"/>
              </w:divBdr>
              <w:divsChild>
                <w:div w:id="1790934561">
                  <w:marLeft w:val="0"/>
                  <w:marRight w:val="0"/>
                  <w:marTop w:val="0"/>
                  <w:marBottom w:val="0"/>
                  <w:divBdr>
                    <w:top w:val="none" w:sz="0" w:space="0" w:color="auto"/>
                    <w:left w:val="none" w:sz="0" w:space="0" w:color="auto"/>
                    <w:bottom w:val="none" w:sz="0" w:space="0" w:color="auto"/>
                    <w:right w:val="none" w:sz="0" w:space="0" w:color="auto"/>
                  </w:divBdr>
                </w:div>
              </w:divsChild>
            </w:div>
            <w:div w:id="1025525310">
              <w:marLeft w:val="0"/>
              <w:marRight w:val="0"/>
              <w:marTop w:val="0"/>
              <w:marBottom w:val="0"/>
              <w:divBdr>
                <w:top w:val="none" w:sz="0" w:space="0" w:color="auto"/>
                <w:left w:val="none" w:sz="0" w:space="0" w:color="auto"/>
                <w:bottom w:val="none" w:sz="0" w:space="0" w:color="auto"/>
                <w:right w:val="none" w:sz="0" w:space="0" w:color="auto"/>
              </w:divBdr>
              <w:divsChild>
                <w:div w:id="1753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0751">
          <w:marLeft w:val="0"/>
          <w:marRight w:val="0"/>
          <w:marTop w:val="0"/>
          <w:marBottom w:val="0"/>
          <w:divBdr>
            <w:top w:val="none" w:sz="0" w:space="0" w:color="auto"/>
            <w:left w:val="none" w:sz="0" w:space="0" w:color="auto"/>
            <w:bottom w:val="none" w:sz="0" w:space="0" w:color="auto"/>
            <w:right w:val="none" w:sz="0" w:space="0" w:color="auto"/>
          </w:divBdr>
          <w:divsChild>
            <w:div w:id="707992852">
              <w:marLeft w:val="0"/>
              <w:marRight w:val="0"/>
              <w:marTop w:val="0"/>
              <w:marBottom w:val="0"/>
              <w:divBdr>
                <w:top w:val="none" w:sz="0" w:space="0" w:color="auto"/>
                <w:left w:val="none" w:sz="0" w:space="0" w:color="auto"/>
                <w:bottom w:val="none" w:sz="0" w:space="0" w:color="auto"/>
                <w:right w:val="none" w:sz="0" w:space="0" w:color="auto"/>
              </w:divBdr>
              <w:divsChild>
                <w:div w:id="9417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9492">
      <w:bodyDiv w:val="1"/>
      <w:marLeft w:val="0"/>
      <w:marRight w:val="0"/>
      <w:marTop w:val="0"/>
      <w:marBottom w:val="0"/>
      <w:divBdr>
        <w:top w:val="none" w:sz="0" w:space="0" w:color="auto"/>
        <w:left w:val="none" w:sz="0" w:space="0" w:color="auto"/>
        <w:bottom w:val="none" w:sz="0" w:space="0" w:color="auto"/>
        <w:right w:val="none" w:sz="0" w:space="0" w:color="auto"/>
      </w:divBdr>
      <w:divsChild>
        <w:div w:id="1178928660">
          <w:marLeft w:val="0"/>
          <w:marRight w:val="0"/>
          <w:marTop w:val="0"/>
          <w:marBottom w:val="0"/>
          <w:divBdr>
            <w:top w:val="none" w:sz="0" w:space="0" w:color="auto"/>
            <w:left w:val="none" w:sz="0" w:space="0" w:color="auto"/>
            <w:bottom w:val="none" w:sz="0" w:space="0" w:color="auto"/>
            <w:right w:val="none" w:sz="0" w:space="0" w:color="auto"/>
          </w:divBdr>
          <w:divsChild>
            <w:div w:id="134684366">
              <w:marLeft w:val="0"/>
              <w:marRight w:val="0"/>
              <w:marTop w:val="0"/>
              <w:marBottom w:val="0"/>
              <w:divBdr>
                <w:top w:val="none" w:sz="0" w:space="0" w:color="auto"/>
                <w:left w:val="none" w:sz="0" w:space="0" w:color="auto"/>
                <w:bottom w:val="none" w:sz="0" w:space="0" w:color="auto"/>
                <w:right w:val="none" w:sz="0" w:space="0" w:color="auto"/>
              </w:divBdr>
              <w:divsChild>
                <w:div w:id="644237837">
                  <w:marLeft w:val="0"/>
                  <w:marRight w:val="0"/>
                  <w:marTop w:val="0"/>
                  <w:marBottom w:val="0"/>
                  <w:divBdr>
                    <w:top w:val="none" w:sz="0" w:space="0" w:color="auto"/>
                    <w:left w:val="none" w:sz="0" w:space="0" w:color="auto"/>
                    <w:bottom w:val="none" w:sz="0" w:space="0" w:color="auto"/>
                    <w:right w:val="none" w:sz="0" w:space="0" w:color="auto"/>
                  </w:divBdr>
                  <w:divsChild>
                    <w:div w:id="897127540">
                      <w:marLeft w:val="0"/>
                      <w:marRight w:val="0"/>
                      <w:marTop w:val="0"/>
                      <w:marBottom w:val="0"/>
                      <w:divBdr>
                        <w:top w:val="none" w:sz="0" w:space="0" w:color="auto"/>
                        <w:left w:val="none" w:sz="0" w:space="0" w:color="auto"/>
                        <w:bottom w:val="none" w:sz="0" w:space="0" w:color="auto"/>
                        <w:right w:val="none" w:sz="0" w:space="0" w:color="auto"/>
                      </w:divBdr>
                    </w:div>
                  </w:divsChild>
                </w:div>
                <w:div w:id="611399962">
                  <w:marLeft w:val="0"/>
                  <w:marRight w:val="0"/>
                  <w:marTop w:val="0"/>
                  <w:marBottom w:val="0"/>
                  <w:divBdr>
                    <w:top w:val="none" w:sz="0" w:space="0" w:color="auto"/>
                    <w:left w:val="none" w:sz="0" w:space="0" w:color="auto"/>
                    <w:bottom w:val="none" w:sz="0" w:space="0" w:color="auto"/>
                    <w:right w:val="none" w:sz="0" w:space="0" w:color="auto"/>
                  </w:divBdr>
                  <w:divsChild>
                    <w:div w:id="1641880876">
                      <w:marLeft w:val="0"/>
                      <w:marRight w:val="0"/>
                      <w:marTop w:val="0"/>
                      <w:marBottom w:val="0"/>
                      <w:divBdr>
                        <w:top w:val="none" w:sz="0" w:space="0" w:color="auto"/>
                        <w:left w:val="none" w:sz="0" w:space="0" w:color="auto"/>
                        <w:bottom w:val="none" w:sz="0" w:space="0" w:color="auto"/>
                        <w:right w:val="none" w:sz="0" w:space="0" w:color="auto"/>
                      </w:divBdr>
                    </w:div>
                  </w:divsChild>
                </w:div>
                <w:div w:id="231695015">
                  <w:marLeft w:val="0"/>
                  <w:marRight w:val="0"/>
                  <w:marTop w:val="0"/>
                  <w:marBottom w:val="0"/>
                  <w:divBdr>
                    <w:top w:val="none" w:sz="0" w:space="0" w:color="auto"/>
                    <w:left w:val="none" w:sz="0" w:space="0" w:color="auto"/>
                    <w:bottom w:val="none" w:sz="0" w:space="0" w:color="auto"/>
                    <w:right w:val="none" w:sz="0" w:space="0" w:color="auto"/>
                  </w:divBdr>
                  <w:divsChild>
                    <w:div w:id="1161198421">
                      <w:marLeft w:val="0"/>
                      <w:marRight w:val="0"/>
                      <w:marTop w:val="0"/>
                      <w:marBottom w:val="0"/>
                      <w:divBdr>
                        <w:top w:val="none" w:sz="0" w:space="0" w:color="auto"/>
                        <w:left w:val="none" w:sz="0" w:space="0" w:color="auto"/>
                        <w:bottom w:val="none" w:sz="0" w:space="0" w:color="auto"/>
                        <w:right w:val="none" w:sz="0" w:space="0" w:color="auto"/>
                      </w:divBdr>
                    </w:div>
                  </w:divsChild>
                </w:div>
                <w:div w:id="1258905094">
                  <w:marLeft w:val="0"/>
                  <w:marRight w:val="0"/>
                  <w:marTop w:val="0"/>
                  <w:marBottom w:val="0"/>
                  <w:divBdr>
                    <w:top w:val="none" w:sz="0" w:space="0" w:color="auto"/>
                    <w:left w:val="none" w:sz="0" w:space="0" w:color="auto"/>
                    <w:bottom w:val="none" w:sz="0" w:space="0" w:color="auto"/>
                    <w:right w:val="none" w:sz="0" w:space="0" w:color="auto"/>
                  </w:divBdr>
                  <w:divsChild>
                    <w:div w:id="1138568727">
                      <w:marLeft w:val="0"/>
                      <w:marRight w:val="0"/>
                      <w:marTop w:val="0"/>
                      <w:marBottom w:val="0"/>
                      <w:divBdr>
                        <w:top w:val="none" w:sz="0" w:space="0" w:color="auto"/>
                        <w:left w:val="none" w:sz="0" w:space="0" w:color="auto"/>
                        <w:bottom w:val="none" w:sz="0" w:space="0" w:color="auto"/>
                        <w:right w:val="none" w:sz="0" w:space="0" w:color="auto"/>
                      </w:divBdr>
                    </w:div>
                  </w:divsChild>
                </w:div>
                <w:div w:id="779496617">
                  <w:marLeft w:val="0"/>
                  <w:marRight w:val="0"/>
                  <w:marTop w:val="0"/>
                  <w:marBottom w:val="0"/>
                  <w:divBdr>
                    <w:top w:val="none" w:sz="0" w:space="0" w:color="auto"/>
                    <w:left w:val="none" w:sz="0" w:space="0" w:color="auto"/>
                    <w:bottom w:val="none" w:sz="0" w:space="0" w:color="auto"/>
                    <w:right w:val="none" w:sz="0" w:space="0" w:color="auto"/>
                  </w:divBdr>
                  <w:divsChild>
                    <w:div w:id="785394252">
                      <w:marLeft w:val="0"/>
                      <w:marRight w:val="0"/>
                      <w:marTop w:val="0"/>
                      <w:marBottom w:val="0"/>
                      <w:divBdr>
                        <w:top w:val="none" w:sz="0" w:space="0" w:color="auto"/>
                        <w:left w:val="none" w:sz="0" w:space="0" w:color="auto"/>
                        <w:bottom w:val="none" w:sz="0" w:space="0" w:color="auto"/>
                        <w:right w:val="none" w:sz="0" w:space="0" w:color="auto"/>
                      </w:divBdr>
                    </w:div>
                  </w:divsChild>
                </w:div>
                <w:div w:id="1173377160">
                  <w:marLeft w:val="0"/>
                  <w:marRight w:val="0"/>
                  <w:marTop w:val="0"/>
                  <w:marBottom w:val="0"/>
                  <w:divBdr>
                    <w:top w:val="none" w:sz="0" w:space="0" w:color="auto"/>
                    <w:left w:val="none" w:sz="0" w:space="0" w:color="auto"/>
                    <w:bottom w:val="none" w:sz="0" w:space="0" w:color="auto"/>
                    <w:right w:val="none" w:sz="0" w:space="0" w:color="auto"/>
                  </w:divBdr>
                  <w:divsChild>
                    <w:div w:id="17131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0898">
          <w:marLeft w:val="0"/>
          <w:marRight w:val="0"/>
          <w:marTop w:val="0"/>
          <w:marBottom w:val="0"/>
          <w:divBdr>
            <w:top w:val="none" w:sz="0" w:space="0" w:color="auto"/>
            <w:left w:val="none" w:sz="0" w:space="0" w:color="auto"/>
            <w:bottom w:val="none" w:sz="0" w:space="0" w:color="auto"/>
            <w:right w:val="none" w:sz="0" w:space="0" w:color="auto"/>
          </w:divBdr>
          <w:divsChild>
            <w:div w:id="816338084">
              <w:marLeft w:val="0"/>
              <w:marRight w:val="0"/>
              <w:marTop w:val="0"/>
              <w:marBottom w:val="0"/>
              <w:divBdr>
                <w:top w:val="none" w:sz="0" w:space="0" w:color="auto"/>
                <w:left w:val="none" w:sz="0" w:space="0" w:color="auto"/>
                <w:bottom w:val="none" w:sz="0" w:space="0" w:color="auto"/>
                <w:right w:val="none" w:sz="0" w:space="0" w:color="auto"/>
              </w:divBdr>
              <w:divsChild>
                <w:div w:id="529803328">
                  <w:marLeft w:val="0"/>
                  <w:marRight w:val="0"/>
                  <w:marTop w:val="0"/>
                  <w:marBottom w:val="0"/>
                  <w:divBdr>
                    <w:top w:val="none" w:sz="0" w:space="0" w:color="auto"/>
                    <w:left w:val="none" w:sz="0" w:space="0" w:color="auto"/>
                    <w:bottom w:val="none" w:sz="0" w:space="0" w:color="auto"/>
                    <w:right w:val="none" w:sz="0" w:space="0" w:color="auto"/>
                  </w:divBdr>
                  <w:divsChild>
                    <w:div w:id="1121412501">
                      <w:marLeft w:val="0"/>
                      <w:marRight w:val="0"/>
                      <w:marTop w:val="0"/>
                      <w:marBottom w:val="0"/>
                      <w:divBdr>
                        <w:top w:val="none" w:sz="0" w:space="0" w:color="auto"/>
                        <w:left w:val="none" w:sz="0" w:space="0" w:color="auto"/>
                        <w:bottom w:val="none" w:sz="0" w:space="0" w:color="auto"/>
                        <w:right w:val="none" w:sz="0" w:space="0" w:color="auto"/>
                      </w:divBdr>
                    </w:div>
                  </w:divsChild>
                </w:div>
                <w:div w:id="1255088187">
                  <w:marLeft w:val="0"/>
                  <w:marRight w:val="0"/>
                  <w:marTop w:val="0"/>
                  <w:marBottom w:val="0"/>
                  <w:divBdr>
                    <w:top w:val="none" w:sz="0" w:space="0" w:color="auto"/>
                    <w:left w:val="none" w:sz="0" w:space="0" w:color="auto"/>
                    <w:bottom w:val="none" w:sz="0" w:space="0" w:color="auto"/>
                    <w:right w:val="none" w:sz="0" w:space="0" w:color="auto"/>
                  </w:divBdr>
                  <w:divsChild>
                    <w:div w:id="664011908">
                      <w:marLeft w:val="0"/>
                      <w:marRight w:val="0"/>
                      <w:marTop w:val="0"/>
                      <w:marBottom w:val="0"/>
                      <w:divBdr>
                        <w:top w:val="none" w:sz="0" w:space="0" w:color="auto"/>
                        <w:left w:val="none" w:sz="0" w:space="0" w:color="auto"/>
                        <w:bottom w:val="none" w:sz="0" w:space="0" w:color="auto"/>
                        <w:right w:val="none" w:sz="0" w:space="0" w:color="auto"/>
                      </w:divBdr>
                    </w:div>
                  </w:divsChild>
                </w:div>
                <w:div w:id="313795753">
                  <w:marLeft w:val="0"/>
                  <w:marRight w:val="0"/>
                  <w:marTop w:val="0"/>
                  <w:marBottom w:val="0"/>
                  <w:divBdr>
                    <w:top w:val="none" w:sz="0" w:space="0" w:color="auto"/>
                    <w:left w:val="none" w:sz="0" w:space="0" w:color="auto"/>
                    <w:bottom w:val="none" w:sz="0" w:space="0" w:color="auto"/>
                    <w:right w:val="none" w:sz="0" w:space="0" w:color="auto"/>
                  </w:divBdr>
                  <w:divsChild>
                    <w:div w:id="114755038">
                      <w:marLeft w:val="0"/>
                      <w:marRight w:val="0"/>
                      <w:marTop w:val="0"/>
                      <w:marBottom w:val="0"/>
                      <w:divBdr>
                        <w:top w:val="none" w:sz="0" w:space="0" w:color="auto"/>
                        <w:left w:val="none" w:sz="0" w:space="0" w:color="auto"/>
                        <w:bottom w:val="none" w:sz="0" w:space="0" w:color="auto"/>
                        <w:right w:val="none" w:sz="0" w:space="0" w:color="auto"/>
                      </w:divBdr>
                    </w:div>
                  </w:divsChild>
                </w:div>
                <w:div w:id="2066179646">
                  <w:marLeft w:val="0"/>
                  <w:marRight w:val="0"/>
                  <w:marTop w:val="0"/>
                  <w:marBottom w:val="0"/>
                  <w:divBdr>
                    <w:top w:val="none" w:sz="0" w:space="0" w:color="auto"/>
                    <w:left w:val="none" w:sz="0" w:space="0" w:color="auto"/>
                    <w:bottom w:val="none" w:sz="0" w:space="0" w:color="auto"/>
                    <w:right w:val="none" w:sz="0" w:space="0" w:color="auto"/>
                  </w:divBdr>
                  <w:divsChild>
                    <w:div w:id="1947879896">
                      <w:marLeft w:val="0"/>
                      <w:marRight w:val="0"/>
                      <w:marTop w:val="0"/>
                      <w:marBottom w:val="0"/>
                      <w:divBdr>
                        <w:top w:val="none" w:sz="0" w:space="0" w:color="auto"/>
                        <w:left w:val="none" w:sz="0" w:space="0" w:color="auto"/>
                        <w:bottom w:val="none" w:sz="0" w:space="0" w:color="auto"/>
                        <w:right w:val="none" w:sz="0" w:space="0" w:color="auto"/>
                      </w:divBdr>
                    </w:div>
                  </w:divsChild>
                </w:div>
                <w:div w:id="859243556">
                  <w:marLeft w:val="0"/>
                  <w:marRight w:val="0"/>
                  <w:marTop w:val="0"/>
                  <w:marBottom w:val="0"/>
                  <w:divBdr>
                    <w:top w:val="none" w:sz="0" w:space="0" w:color="auto"/>
                    <w:left w:val="none" w:sz="0" w:space="0" w:color="auto"/>
                    <w:bottom w:val="none" w:sz="0" w:space="0" w:color="auto"/>
                    <w:right w:val="none" w:sz="0" w:space="0" w:color="auto"/>
                  </w:divBdr>
                  <w:divsChild>
                    <w:div w:id="2010015572">
                      <w:marLeft w:val="0"/>
                      <w:marRight w:val="0"/>
                      <w:marTop w:val="0"/>
                      <w:marBottom w:val="0"/>
                      <w:divBdr>
                        <w:top w:val="none" w:sz="0" w:space="0" w:color="auto"/>
                        <w:left w:val="none" w:sz="0" w:space="0" w:color="auto"/>
                        <w:bottom w:val="none" w:sz="0" w:space="0" w:color="auto"/>
                        <w:right w:val="none" w:sz="0" w:space="0" w:color="auto"/>
                      </w:divBdr>
                    </w:div>
                  </w:divsChild>
                </w:div>
                <w:div w:id="634139028">
                  <w:marLeft w:val="0"/>
                  <w:marRight w:val="0"/>
                  <w:marTop w:val="0"/>
                  <w:marBottom w:val="0"/>
                  <w:divBdr>
                    <w:top w:val="none" w:sz="0" w:space="0" w:color="auto"/>
                    <w:left w:val="none" w:sz="0" w:space="0" w:color="auto"/>
                    <w:bottom w:val="none" w:sz="0" w:space="0" w:color="auto"/>
                    <w:right w:val="none" w:sz="0" w:space="0" w:color="auto"/>
                  </w:divBdr>
                  <w:divsChild>
                    <w:div w:id="1895120061">
                      <w:marLeft w:val="0"/>
                      <w:marRight w:val="0"/>
                      <w:marTop w:val="0"/>
                      <w:marBottom w:val="0"/>
                      <w:divBdr>
                        <w:top w:val="none" w:sz="0" w:space="0" w:color="auto"/>
                        <w:left w:val="none" w:sz="0" w:space="0" w:color="auto"/>
                        <w:bottom w:val="none" w:sz="0" w:space="0" w:color="auto"/>
                        <w:right w:val="none" w:sz="0" w:space="0" w:color="auto"/>
                      </w:divBdr>
                    </w:div>
                  </w:divsChild>
                </w:div>
                <w:div w:id="985352681">
                  <w:marLeft w:val="0"/>
                  <w:marRight w:val="0"/>
                  <w:marTop w:val="0"/>
                  <w:marBottom w:val="0"/>
                  <w:divBdr>
                    <w:top w:val="none" w:sz="0" w:space="0" w:color="auto"/>
                    <w:left w:val="none" w:sz="0" w:space="0" w:color="auto"/>
                    <w:bottom w:val="none" w:sz="0" w:space="0" w:color="auto"/>
                    <w:right w:val="none" w:sz="0" w:space="0" w:color="auto"/>
                  </w:divBdr>
                  <w:divsChild>
                    <w:div w:id="117188786">
                      <w:marLeft w:val="0"/>
                      <w:marRight w:val="0"/>
                      <w:marTop w:val="0"/>
                      <w:marBottom w:val="0"/>
                      <w:divBdr>
                        <w:top w:val="none" w:sz="0" w:space="0" w:color="auto"/>
                        <w:left w:val="none" w:sz="0" w:space="0" w:color="auto"/>
                        <w:bottom w:val="none" w:sz="0" w:space="0" w:color="auto"/>
                        <w:right w:val="none" w:sz="0" w:space="0" w:color="auto"/>
                      </w:divBdr>
                    </w:div>
                  </w:divsChild>
                </w:div>
                <w:div w:id="732119366">
                  <w:marLeft w:val="0"/>
                  <w:marRight w:val="0"/>
                  <w:marTop w:val="0"/>
                  <w:marBottom w:val="0"/>
                  <w:divBdr>
                    <w:top w:val="none" w:sz="0" w:space="0" w:color="auto"/>
                    <w:left w:val="none" w:sz="0" w:space="0" w:color="auto"/>
                    <w:bottom w:val="none" w:sz="0" w:space="0" w:color="auto"/>
                    <w:right w:val="none" w:sz="0" w:space="0" w:color="auto"/>
                  </w:divBdr>
                  <w:divsChild>
                    <w:div w:id="101076768">
                      <w:marLeft w:val="0"/>
                      <w:marRight w:val="0"/>
                      <w:marTop w:val="0"/>
                      <w:marBottom w:val="0"/>
                      <w:divBdr>
                        <w:top w:val="none" w:sz="0" w:space="0" w:color="auto"/>
                        <w:left w:val="none" w:sz="0" w:space="0" w:color="auto"/>
                        <w:bottom w:val="none" w:sz="0" w:space="0" w:color="auto"/>
                        <w:right w:val="none" w:sz="0" w:space="0" w:color="auto"/>
                      </w:divBdr>
                    </w:div>
                  </w:divsChild>
                </w:div>
                <w:div w:id="750852469">
                  <w:marLeft w:val="0"/>
                  <w:marRight w:val="0"/>
                  <w:marTop w:val="0"/>
                  <w:marBottom w:val="0"/>
                  <w:divBdr>
                    <w:top w:val="none" w:sz="0" w:space="0" w:color="auto"/>
                    <w:left w:val="none" w:sz="0" w:space="0" w:color="auto"/>
                    <w:bottom w:val="none" w:sz="0" w:space="0" w:color="auto"/>
                    <w:right w:val="none" w:sz="0" w:space="0" w:color="auto"/>
                  </w:divBdr>
                  <w:divsChild>
                    <w:div w:id="939876550">
                      <w:marLeft w:val="0"/>
                      <w:marRight w:val="0"/>
                      <w:marTop w:val="0"/>
                      <w:marBottom w:val="0"/>
                      <w:divBdr>
                        <w:top w:val="none" w:sz="0" w:space="0" w:color="auto"/>
                        <w:left w:val="none" w:sz="0" w:space="0" w:color="auto"/>
                        <w:bottom w:val="none" w:sz="0" w:space="0" w:color="auto"/>
                        <w:right w:val="none" w:sz="0" w:space="0" w:color="auto"/>
                      </w:divBdr>
                    </w:div>
                  </w:divsChild>
                </w:div>
                <w:div w:id="971206264">
                  <w:marLeft w:val="0"/>
                  <w:marRight w:val="0"/>
                  <w:marTop w:val="0"/>
                  <w:marBottom w:val="0"/>
                  <w:divBdr>
                    <w:top w:val="none" w:sz="0" w:space="0" w:color="auto"/>
                    <w:left w:val="none" w:sz="0" w:space="0" w:color="auto"/>
                    <w:bottom w:val="none" w:sz="0" w:space="0" w:color="auto"/>
                    <w:right w:val="none" w:sz="0" w:space="0" w:color="auto"/>
                  </w:divBdr>
                  <w:divsChild>
                    <w:div w:id="845092136">
                      <w:marLeft w:val="0"/>
                      <w:marRight w:val="0"/>
                      <w:marTop w:val="0"/>
                      <w:marBottom w:val="0"/>
                      <w:divBdr>
                        <w:top w:val="none" w:sz="0" w:space="0" w:color="auto"/>
                        <w:left w:val="none" w:sz="0" w:space="0" w:color="auto"/>
                        <w:bottom w:val="none" w:sz="0" w:space="0" w:color="auto"/>
                        <w:right w:val="none" w:sz="0" w:space="0" w:color="auto"/>
                      </w:divBdr>
                    </w:div>
                  </w:divsChild>
                </w:div>
                <w:div w:id="2128036042">
                  <w:marLeft w:val="0"/>
                  <w:marRight w:val="0"/>
                  <w:marTop w:val="0"/>
                  <w:marBottom w:val="0"/>
                  <w:divBdr>
                    <w:top w:val="none" w:sz="0" w:space="0" w:color="auto"/>
                    <w:left w:val="none" w:sz="0" w:space="0" w:color="auto"/>
                    <w:bottom w:val="none" w:sz="0" w:space="0" w:color="auto"/>
                    <w:right w:val="none" w:sz="0" w:space="0" w:color="auto"/>
                  </w:divBdr>
                  <w:divsChild>
                    <w:div w:id="483934756">
                      <w:marLeft w:val="0"/>
                      <w:marRight w:val="0"/>
                      <w:marTop w:val="0"/>
                      <w:marBottom w:val="0"/>
                      <w:divBdr>
                        <w:top w:val="none" w:sz="0" w:space="0" w:color="auto"/>
                        <w:left w:val="none" w:sz="0" w:space="0" w:color="auto"/>
                        <w:bottom w:val="none" w:sz="0" w:space="0" w:color="auto"/>
                        <w:right w:val="none" w:sz="0" w:space="0" w:color="auto"/>
                      </w:divBdr>
                    </w:div>
                  </w:divsChild>
                </w:div>
                <w:div w:id="1724793872">
                  <w:marLeft w:val="0"/>
                  <w:marRight w:val="0"/>
                  <w:marTop w:val="0"/>
                  <w:marBottom w:val="0"/>
                  <w:divBdr>
                    <w:top w:val="none" w:sz="0" w:space="0" w:color="auto"/>
                    <w:left w:val="none" w:sz="0" w:space="0" w:color="auto"/>
                    <w:bottom w:val="none" w:sz="0" w:space="0" w:color="auto"/>
                    <w:right w:val="none" w:sz="0" w:space="0" w:color="auto"/>
                  </w:divBdr>
                  <w:divsChild>
                    <w:div w:id="482622590">
                      <w:marLeft w:val="0"/>
                      <w:marRight w:val="0"/>
                      <w:marTop w:val="0"/>
                      <w:marBottom w:val="0"/>
                      <w:divBdr>
                        <w:top w:val="none" w:sz="0" w:space="0" w:color="auto"/>
                        <w:left w:val="none" w:sz="0" w:space="0" w:color="auto"/>
                        <w:bottom w:val="none" w:sz="0" w:space="0" w:color="auto"/>
                        <w:right w:val="none" w:sz="0" w:space="0" w:color="auto"/>
                      </w:divBdr>
                    </w:div>
                    <w:div w:id="946277893">
                      <w:marLeft w:val="0"/>
                      <w:marRight w:val="0"/>
                      <w:marTop w:val="0"/>
                      <w:marBottom w:val="0"/>
                      <w:divBdr>
                        <w:top w:val="none" w:sz="0" w:space="0" w:color="auto"/>
                        <w:left w:val="none" w:sz="0" w:space="0" w:color="auto"/>
                        <w:bottom w:val="none" w:sz="0" w:space="0" w:color="auto"/>
                        <w:right w:val="none" w:sz="0" w:space="0" w:color="auto"/>
                      </w:divBdr>
                    </w:div>
                  </w:divsChild>
                </w:div>
                <w:div w:id="1476490159">
                  <w:marLeft w:val="0"/>
                  <w:marRight w:val="0"/>
                  <w:marTop w:val="0"/>
                  <w:marBottom w:val="0"/>
                  <w:divBdr>
                    <w:top w:val="none" w:sz="0" w:space="0" w:color="auto"/>
                    <w:left w:val="none" w:sz="0" w:space="0" w:color="auto"/>
                    <w:bottom w:val="none" w:sz="0" w:space="0" w:color="auto"/>
                    <w:right w:val="none" w:sz="0" w:space="0" w:color="auto"/>
                  </w:divBdr>
                  <w:divsChild>
                    <w:div w:id="7706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8365">
          <w:marLeft w:val="0"/>
          <w:marRight w:val="0"/>
          <w:marTop w:val="0"/>
          <w:marBottom w:val="0"/>
          <w:divBdr>
            <w:top w:val="none" w:sz="0" w:space="0" w:color="auto"/>
            <w:left w:val="none" w:sz="0" w:space="0" w:color="auto"/>
            <w:bottom w:val="none" w:sz="0" w:space="0" w:color="auto"/>
            <w:right w:val="none" w:sz="0" w:space="0" w:color="auto"/>
          </w:divBdr>
          <w:divsChild>
            <w:div w:id="1163353128">
              <w:marLeft w:val="0"/>
              <w:marRight w:val="0"/>
              <w:marTop w:val="0"/>
              <w:marBottom w:val="0"/>
              <w:divBdr>
                <w:top w:val="none" w:sz="0" w:space="0" w:color="auto"/>
                <w:left w:val="none" w:sz="0" w:space="0" w:color="auto"/>
                <w:bottom w:val="none" w:sz="0" w:space="0" w:color="auto"/>
                <w:right w:val="none" w:sz="0" w:space="0" w:color="auto"/>
              </w:divBdr>
              <w:divsChild>
                <w:div w:id="419067462">
                  <w:marLeft w:val="0"/>
                  <w:marRight w:val="0"/>
                  <w:marTop w:val="0"/>
                  <w:marBottom w:val="0"/>
                  <w:divBdr>
                    <w:top w:val="none" w:sz="0" w:space="0" w:color="auto"/>
                    <w:left w:val="none" w:sz="0" w:space="0" w:color="auto"/>
                    <w:bottom w:val="none" w:sz="0" w:space="0" w:color="auto"/>
                    <w:right w:val="none" w:sz="0" w:space="0" w:color="auto"/>
                  </w:divBdr>
                  <w:divsChild>
                    <w:div w:id="1474175716">
                      <w:marLeft w:val="0"/>
                      <w:marRight w:val="0"/>
                      <w:marTop w:val="0"/>
                      <w:marBottom w:val="0"/>
                      <w:divBdr>
                        <w:top w:val="none" w:sz="0" w:space="0" w:color="auto"/>
                        <w:left w:val="none" w:sz="0" w:space="0" w:color="auto"/>
                        <w:bottom w:val="none" w:sz="0" w:space="0" w:color="auto"/>
                        <w:right w:val="none" w:sz="0" w:space="0" w:color="auto"/>
                      </w:divBdr>
                    </w:div>
                  </w:divsChild>
                </w:div>
                <w:div w:id="466630469">
                  <w:marLeft w:val="0"/>
                  <w:marRight w:val="0"/>
                  <w:marTop w:val="0"/>
                  <w:marBottom w:val="0"/>
                  <w:divBdr>
                    <w:top w:val="none" w:sz="0" w:space="0" w:color="auto"/>
                    <w:left w:val="none" w:sz="0" w:space="0" w:color="auto"/>
                    <w:bottom w:val="none" w:sz="0" w:space="0" w:color="auto"/>
                    <w:right w:val="none" w:sz="0" w:space="0" w:color="auto"/>
                  </w:divBdr>
                  <w:divsChild>
                    <w:div w:id="2035232151">
                      <w:marLeft w:val="0"/>
                      <w:marRight w:val="0"/>
                      <w:marTop w:val="0"/>
                      <w:marBottom w:val="0"/>
                      <w:divBdr>
                        <w:top w:val="none" w:sz="0" w:space="0" w:color="auto"/>
                        <w:left w:val="none" w:sz="0" w:space="0" w:color="auto"/>
                        <w:bottom w:val="none" w:sz="0" w:space="0" w:color="auto"/>
                        <w:right w:val="none" w:sz="0" w:space="0" w:color="auto"/>
                      </w:divBdr>
                    </w:div>
                  </w:divsChild>
                </w:div>
                <w:div w:id="1846046750">
                  <w:marLeft w:val="0"/>
                  <w:marRight w:val="0"/>
                  <w:marTop w:val="0"/>
                  <w:marBottom w:val="0"/>
                  <w:divBdr>
                    <w:top w:val="none" w:sz="0" w:space="0" w:color="auto"/>
                    <w:left w:val="none" w:sz="0" w:space="0" w:color="auto"/>
                    <w:bottom w:val="none" w:sz="0" w:space="0" w:color="auto"/>
                    <w:right w:val="none" w:sz="0" w:space="0" w:color="auto"/>
                  </w:divBdr>
                  <w:divsChild>
                    <w:div w:id="1533953772">
                      <w:marLeft w:val="0"/>
                      <w:marRight w:val="0"/>
                      <w:marTop w:val="0"/>
                      <w:marBottom w:val="0"/>
                      <w:divBdr>
                        <w:top w:val="none" w:sz="0" w:space="0" w:color="auto"/>
                        <w:left w:val="none" w:sz="0" w:space="0" w:color="auto"/>
                        <w:bottom w:val="none" w:sz="0" w:space="0" w:color="auto"/>
                        <w:right w:val="none" w:sz="0" w:space="0" w:color="auto"/>
                      </w:divBdr>
                    </w:div>
                  </w:divsChild>
                </w:div>
                <w:div w:id="874729012">
                  <w:marLeft w:val="0"/>
                  <w:marRight w:val="0"/>
                  <w:marTop w:val="0"/>
                  <w:marBottom w:val="0"/>
                  <w:divBdr>
                    <w:top w:val="none" w:sz="0" w:space="0" w:color="auto"/>
                    <w:left w:val="none" w:sz="0" w:space="0" w:color="auto"/>
                    <w:bottom w:val="none" w:sz="0" w:space="0" w:color="auto"/>
                    <w:right w:val="none" w:sz="0" w:space="0" w:color="auto"/>
                  </w:divBdr>
                  <w:divsChild>
                    <w:div w:id="1501047659">
                      <w:marLeft w:val="0"/>
                      <w:marRight w:val="0"/>
                      <w:marTop w:val="0"/>
                      <w:marBottom w:val="0"/>
                      <w:divBdr>
                        <w:top w:val="none" w:sz="0" w:space="0" w:color="auto"/>
                        <w:left w:val="none" w:sz="0" w:space="0" w:color="auto"/>
                        <w:bottom w:val="none" w:sz="0" w:space="0" w:color="auto"/>
                        <w:right w:val="none" w:sz="0" w:space="0" w:color="auto"/>
                      </w:divBdr>
                    </w:div>
                  </w:divsChild>
                </w:div>
                <w:div w:id="1594050529">
                  <w:marLeft w:val="0"/>
                  <w:marRight w:val="0"/>
                  <w:marTop w:val="0"/>
                  <w:marBottom w:val="0"/>
                  <w:divBdr>
                    <w:top w:val="none" w:sz="0" w:space="0" w:color="auto"/>
                    <w:left w:val="none" w:sz="0" w:space="0" w:color="auto"/>
                    <w:bottom w:val="none" w:sz="0" w:space="0" w:color="auto"/>
                    <w:right w:val="none" w:sz="0" w:space="0" w:color="auto"/>
                  </w:divBdr>
                  <w:divsChild>
                    <w:div w:id="1096095428">
                      <w:marLeft w:val="0"/>
                      <w:marRight w:val="0"/>
                      <w:marTop w:val="0"/>
                      <w:marBottom w:val="0"/>
                      <w:divBdr>
                        <w:top w:val="none" w:sz="0" w:space="0" w:color="auto"/>
                        <w:left w:val="none" w:sz="0" w:space="0" w:color="auto"/>
                        <w:bottom w:val="none" w:sz="0" w:space="0" w:color="auto"/>
                        <w:right w:val="none" w:sz="0" w:space="0" w:color="auto"/>
                      </w:divBdr>
                    </w:div>
                  </w:divsChild>
                </w:div>
                <w:div w:id="1528520710">
                  <w:marLeft w:val="0"/>
                  <w:marRight w:val="0"/>
                  <w:marTop w:val="0"/>
                  <w:marBottom w:val="0"/>
                  <w:divBdr>
                    <w:top w:val="none" w:sz="0" w:space="0" w:color="auto"/>
                    <w:left w:val="none" w:sz="0" w:space="0" w:color="auto"/>
                    <w:bottom w:val="none" w:sz="0" w:space="0" w:color="auto"/>
                    <w:right w:val="none" w:sz="0" w:space="0" w:color="auto"/>
                  </w:divBdr>
                  <w:divsChild>
                    <w:div w:id="761604965">
                      <w:marLeft w:val="0"/>
                      <w:marRight w:val="0"/>
                      <w:marTop w:val="0"/>
                      <w:marBottom w:val="0"/>
                      <w:divBdr>
                        <w:top w:val="none" w:sz="0" w:space="0" w:color="auto"/>
                        <w:left w:val="none" w:sz="0" w:space="0" w:color="auto"/>
                        <w:bottom w:val="none" w:sz="0" w:space="0" w:color="auto"/>
                        <w:right w:val="none" w:sz="0" w:space="0" w:color="auto"/>
                      </w:divBdr>
                    </w:div>
                  </w:divsChild>
                </w:div>
                <w:div w:id="2063602905">
                  <w:marLeft w:val="0"/>
                  <w:marRight w:val="0"/>
                  <w:marTop w:val="0"/>
                  <w:marBottom w:val="0"/>
                  <w:divBdr>
                    <w:top w:val="none" w:sz="0" w:space="0" w:color="auto"/>
                    <w:left w:val="none" w:sz="0" w:space="0" w:color="auto"/>
                    <w:bottom w:val="none" w:sz="0" w:space="0" w:color="auto"/>
                    <w:right w:val="none" w:sz="0" w:space="0" w:color="auto"/>
                  </w:divBdr>
                  <w:divsChild>
                    <w:div w:id="18132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09201">
      <w:bodyDiv w:val="1"/>
      <w:marLeft w:val="0"/>
      <w:marRight w:val="0"/>
      <w:marTop w:val="0"/>
      <w:marBottom w:val="0"/>
      <w:divBdr>
        <w:top w:val="none" w:sz="0" w:space="0" w:color="auto"/>
        <w:left w:val="none" w:sz="0" w:space="0" w:color="auto"/>
        <w:bottom w:val="none" w:sz="0" w:space="0" w:color="auto"/>
        <w:right w:val="none" w:sz="0" w:space="0" w:color="auto"/>
      </w:divBdr>
      <w:divsChild>
        <w:div w:id="643389876">
          <w:marLeft w:val="0"/>
          <w:marRight w:val="0"/>
          <w:marTop w:val="0"/>
          <w:marBottom w:val="0"/>
          <w:divBdr>
            <w:top w:val="none" w:sz="0" w:space="0" w:color="auto"/>
            <w:left w:val="none" w:sz="0" w:space="0" w:color="auto"/>
            <w:bottom w:val="none" w:sz="0" w:space="0" w:color="auto"/>
            <w:right w:val="none" w:sz="0" w:space="0" w:color="auto"/>
          </w:divBdr>
          <w:divsChild>
            <w:div w:id="1019938924">
              <w:marLeft w:val="0"/>
              <w:marRight w:val="0"/>
              <w:marTop w:val="0"/>
              <w:marBottom w:val="0"/>
              <w:divBdr>
                <w:top w:val="none" w:sz="0" w:space="0" w:color="auto"/>
                <w:left w:val="none" w:sz="0" w:space="0" w:color="auto"/>
                <w:bottom w:val="none" w:sz="0" w:space="0" w:color="auto"/>
                <w:right w:val="none" w:sz="0" w:space="0" w:color="auto"/>
              </w:divBdr>
            </w:div>
          </w:divsChild>
        </w:div>
        <w:div w:id="464810077">
          <w:marLeft w:val="0"/>
          <w:marRight w:val="0"/>
          <w:marTop w:val="0"/>
          <w:marBottom w:val="0"/>
          <w:divBdr>
            <w:top w:val="none" w:sz="0" w:space="0" w:color="auto"/>
            <w:left w:val="none" w:sz="0" w:space="0" w:color="auto"/>
            <w:bottom w:val="none" w:sz="0" w:space="0" w:color="auto"/>
            <w:right w:val="none" w:sz="0" w:space="0" w:color="auto"/>
          </w:divBdr>
          <w:divsChild>
            <w:div w:id="69039917">
              <w:marLeft w:val="0"/>
              <w:marRight w:val="0"/>
              <w:marTop w:val="0"/>
              <w:marBottom w:val="0"/>
              <w:divBdr>
                <w:top w:val="none" w:sz="0" w:space="0" w:color="auto"/>
                <w:left w:val="none" w:sz="0" w:space="0" w:color="auto"/>
                <w:bottom w:val="none" w:sz="0" w:space="0" w:color="auto"/>
                <w:right w:val="none" w:sz="0" w:space="0" w:color="auto"/>
              </w:divBdr>
            </w:div>
          </w:divsChild>
        </w:div>
        <w:div w:id="24403667">
          <w:marLeft w:val="0"/>
          <w:marRight w:val="0"/>
          <w:marTop w:val="0"/>
          <w:marBottom w:val="0"/>
          <w:divBdr>
            <w:top w:val="none" w:sz="0" w:space="0" w:color="auto"/>
            <w:left w:val="none" w:sz="0" w:space="0" w:color="auto"/>
            <w:bottom w:val="none" w:sz="0" w:space="0" w:color="auto"/>
            <w:right w:val="none" w:sz="0" w:space="0" w:color="auto"/>
          </w:divBdr>
          <w:divsChild>
            <w:div w:id="1337925744">
              <w:marLeft w:val="0"/>
              <w:marRight w:val="0"/>
              <w:marTop w:val="0"/>
              <w:marBottom w:val="0"/>
              <w:divBdr>
                <w:top w:val="none" w:sz="0" w:space="0" w:color="auto"/>
                <w:left w:val="none" w:sz="0" w:space="0" w:color="auto"/>
                <w:bottom w:val="none" w:sz="0" w:space="0" w:color="auto"/>
                <w:right w:val="none" w:sz="0" w:space="0" w:color="auto"/>
              </w:divBdr>
            </w:div>
          </w:divsChild>
        </w:div>
        <w:div w:id="1004017860">
          <w:marLeft w:val="0"/>
          <w:marRight w:val="0"/>
          <w:marTop w:val="0"/>
          <w:marBottom w:val="0"/>
          <w:divBdr>
            <w:top w:val="none" w:sz="0" w:space="0" w:color="auto"/>
            <w:left w:val="none" w:sz="0" w:space="0" w:color="auto"/>
            <w:bottom w:val="none" w:sz="0" w:space="0" w:color="auto"/>
            <w:right w:val="none" w:sz="0" w:space="0" w:color="auto"/>
          </w:divBdr>
          <w:divsChild>
            <w:div w:id="2079664579">
              <w:marLeft w:val="0"/>
              <w:marRight w:val="0"/>
              <w:marTop w:val="0"/>
              <w:marBottom w:val="0"/>
              <w:divBdr>
                <w:top w:val="none" w:sz="0" w:space="0" w:color="auto"/>
                <w:left w:val="none" w:sz="0" w:space="0" w:color="auto"/>
                <w:bottom w:val="none" w:sz="0" w:space="0" w:color="auto"/>
                <w:right w:val="none" w:sz="0" w:space="0" w:color="auto"/>
              </w:divBdr>
            </w:div>
          </w:divsChild>
        </w:div>
        <w:div w:id="284117071">
          <w:marLeft w:val="0"/>
          <w:marRight w:val="0"/>
          <w:marTop w:val="0"/>
          <w:marBottom w:val="0"/>
          <w:divBdr>
            <w:top w:val="none" w:sz="0" w:space="0" w:color="auto"/>
            <w:left w:val="none" w:sz="0" w:space="0" w:color="auto"/>
            <w:bottom w:val="none" w:sz="0" w:space="0" w:color="auto"/>
            <w:right w:val="none" w:sz="0" w:space="0" w:color="auto"/>
          </w:divBdr>
          <w:divsChild>
            <w:div w:id="900868089">
              <w:marLeft w:val="0"/>
              <w:marRight w:val="0"/>
              <w:marTop w:val="0"/>
              <w:marBottom w:val="0"/>
              <w:divBdr>
                <w:top w:val="none" w:sz="0" w:space="0" w:color="auto"/>
                <w:left w:val="none" w:sz="0" w:space="0" w:color="auto"/>
                <w:bottom w:val="none" w:sz="0" w:space="0" w:color="auto"/>
                <w:right w:val="none" w:sz="0" w:space="0" w:color="auto"/>
              </w:divBdr>
            </w:div>
          </w:divsChild>
        </w:div>
        <w:div w:id="41949572">
          <w:marLeft w:val="0"/>
          <w:marRight w:val="0"/>
          <w:marTop w:val="0"/>
          <w:marBottom w:val="0"/>
          <w:divBdr>
            <w:top w:val="none" w:sz="0" w:space="0" w:color="auto"/>
            <w:left w:val="none" w:sz="0" w:space="0" w:color="auto"/>
            <w:bottom w:val="none" w:sz="0" w:space="0" w:color="auto"/>
            <w:right w:val="none" w:sz="0" w:space="0" w:color="auto"/>
          </w:divBdr>
          <w:divsChild>
            <w:div w:id="4634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0164">
      <w:bodyDiv w:val="1"/>
      <w:marLeft w:val="0"/>
      <w:marRight w:val="0"/>
      <w:marTop w:val="0"/>
      <w:marBottom w:val="0"/>
      <w:divBdr>
        <w:top w:val="none" w:sz="0" w:space="0" w:color="auto"/>
        <w:left w:val="none" w:sz="0" w:space="0" w:color="auto"/>
        <w:bottom w:val="none" w:sz="0" w:space="0" w:color="auto"/>
        <w:right w:val="none" w:sz="0" w:space="0" w:color="auto"/>
      </w:divBdr>
      <w:divsChild>
        <w:div w:id="106512425">
          <w:marLeft w:val="0"/>
          <w:marRight w:val="0"/>
          <w:marTop w:val="0"/>
          <w:marBottom w:val="0"/>
          <w:divBdr>
            <w:top w:val="none" w:sz="0" w:space="0" w:color="auto"/>
            <w:left w:val="none" w:sz="0" w:space="0" w:color="auto"/>
            <w:bottom w:val="none" w:sz="0" w:space="0" w:color="auto"/>
            <w:right w:val="none" w:sz="0" w:space="0" w:color="auto"/>
          </w:divBdr>
          <w:divsChild>
            <w:div w:id="1334185785">
              <w:marLeft w:val="0"/>
              <w:marRight w:val="0"/>
              <w:marTop w:val="0"/>
              <w:marBottom w:val="0"/>
              <w:divBdr>
                <w:top w:val="none" w:sz="0" w:space="0" w:color="auto"/>
                <w:left w:val="none" w:sz="0" w:space="0" w:color="auto"/>
                <w:bottom w:val="none" w:sz="0" w:space="0" w:color="auto"/>
                <w:right w:val="none" w:sz="0" w:space="0" w:color="auto"/>
              </w:divBdr>
              <w:divsChild>
                <w:div w:id="1594506546">
                  <w:marLeft w:val="0"/>
                  <w:marRight w:val="0"/>
                  <w:marTop w:val="0"/>
                  <w:marBottom w:val="0"/>
                  <w:divBdr>
                    <w:top w:val="none" w:sz="0" w:space="0" w:color="auto"/>
                    <w:left w:val="none" w:sz="0" w:space="0" w:color="auto"/>
                    <w:bottom w:val="none" w:sz="0" w:space="0" w:color="auto"/>
                    <w:right w:val="none" w:sz="0" w:space="0" w:color="auto"/>
                  </w:divBdr>
                  <w:divsChild>
                    <w:div w:id="17114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Document/I7F640970E45011DA8D70A0E70A78ED65/View/FullText.html?originationContext=document&amp;transitionType=DocumentItem&amp;vr=3.0&amp;rs=PLUK1.0&amp;contextData=(sc.DocLink)" TargetMode="External"/><Relationship Id="rId13" Type="http://schemas.openxmlformats.org/officeDocument/2006/relationships/hyperlink" Target="https://uk.westlaw.com/Document/IC89F7FE04D2E11E78A799692B4473E4B/View/FullText.html?originationContext=document&amp;transitionType=DocumentItem&amp;ppcid=0d8160309d7e4a57ac7138eeacf1c61e&amp;contextData=(sc.Search)"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k.westlaw.com/Document/IC4E51FC0D3AF11DCA0FB85E427782D65/View/FullText.html?originationContext=document&amp;transitionType=DocumentItem&amp;vr=3.0&amp;rs=PLUK1.0&amp;contextData=(sc.DocLink)" TargetMode="External"/><Relationship Id="rId12" Type="http://schemas.openxmlformats.org/officeDocument/2006/relationships/hyperlink" Target="https://uk.westlaw.com/Document/I60BF9ED1E42311DAA7CF8F68F6EE57AB/View/FullText.html?originationContext=document&amp;transitionType=DocumentItem&amp;ppcid=0d8160309d7e4a57ac7138eeacf1c61e&amp;contextData=(sc.Sear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estlaw.com/Document/I7F640970E45011DA8D70A0E70A78ED65/View/FullText.html?originationContext=document&amp;transitionType=DocumentItem&amp;ppcid=0d8160309d7e4a57ac7138eeacf1c61e&amp;contextData=(sc.Search)" TargetMode="External"/><Relationship Id="rId5" Type="http://schemas.openxmlformats.org/officeDocument/2006/relationships/footnotes" Target="footnotes.xml"/><Relationship Id="rId15" Type="http://schemas.openxmlformats.org/officeDocument/2006/relationships/hyperlink" Target="https://uk.westlaw.com/Document/I7F640970E45011DA8D70A0E70A78ED65/View/FullText.html?originationContext=document&amp;transitionType=DocumentItem&amp;ppcid=640d4f35115a44daa3e45ce7af8b2c13&amp;contextData=(sc.Search)" TargetMode="External"/><Relationship Id="rId10" Type="http://schemas.openxmlformats.org/officeDocument/2006/relationships/hyperlink" Target="https://uk.westlaw.com/Document/I2129E000E45011DA8D70A0E70A78ED65/View/FullText.html?originationContext=document&amp;transitionType=DocumentItem&amp;vr=3.0&amp;rs=PLUK1.0&amp;contextData=(sc.DocLin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k.westlaw.com/Document/I13AEBA7190CB4FD6878845F048D2A987/View/FullText.html?originationContext=document&amp;transitionType=DocumentItem&amp;vr=3.0&amp;rs=PLUK1.0&amp;contextData=(sc.DocLink)" TargetMode="External"/><Relationship Id="rId14" Type="http://schemas.openxmlformats.org/officeDocument/2006/relationships/hyperlink" Target="https://uk.westlaw.com/Document/I1318D350C71811ED8E3983CC985D0351/View/FullText.html?originationContext=document&amp;transitionType=DocumentItem&amp;ppcid=640d4f35115a44daa3e45ce7af8b2c13&amp;contextData=(sc.Sea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4484</Words>
  <Characters>21685</Characters>
  <Application>Microsoft Office Word</Application>
  <DocSecurity>0</DocSecurity>
  <Lines>423</Lines>
  <Paragraphs>142</Paragraphs>
  <ScaleCrop>false</ScaleCrop>
  <HeadingPairs>
    <vt:vector size="2" baseType="variant">
      <vt:variant>
        <vt:lpstr>Title</vt:lpstr>
      </vt:variant>
      <vt:variant>
        <vt:i4>1</vt:i4>
      </vt:variant>
    </vt:vector>
  </HeadingPairs>
  <TitlesOfParts>
    <vt:vector size="1" baseType="lpstr">
      <vt:lpstr>R. v Paul DUNN</vt:lpstr>
    </vt:vector>
  </TitlesOfParts>
  <Company>DCA</Company>
  <LinksUpToDate>false</LinksUpToDate>
  <CharactersWithSpaces>26144</CharactersWithSpaces>
  <SharedDoc>false</SharedDoc>
  <HLinks>
    <vt:vector size="6" baseType="variant">
      <vt:variant>
        <vt:i4>6160494</vt:i4>
      </vt:variant>
      <vt:variant>
        <vt:i4>10893</vt:i4>
      </vt:variant>
      <vt:variant>
        <vt:i4>1025</vt:i4>
      </vt:variant>
      <vt:variant>
        <vt:i4>1</vt:i4>
      </vt:variant>
      <vt:variant>
        <vt:lpwstr>b_arms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v Paul DUNN</dc:title>
  <dc:subject>Summing Up</dc:subject>
  <dc:creator>Sylvia de Bertodano</dc:creator>
  <cp:keywords>Sylvia de Bertodano</cp:keywords>
  <dc:description>Mr HARRY Mrs HENNESSY</dc:description>
  <cp:lastModifiedBy>Smith, Chris (Judicial Office)</cp:lastModifiedBy>
  <cp:revision>6</cp:revision>
  <cp:lastPrinted>2025-12-08T10:27:00Z</cp:lastPrinted>
  <dcterms:created xsi:type="dcterms:W3CDTF">2025-12-10T09:53:00Z</dcterms:created>
  <dcterms:modified xsi:type="dcterms:W3CDTF">2025-12-10T11:09:00Z</dcterms:modified>
  <cp:category>Warwick  T20150067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UpSaveLoc">
    <vt:lpwstr/>
  </property>
  <property fmtid="{D5CDD505-2E9C-101B-9397-08002B2CF9AE}" pid="3" name="CourtName">
    <vt:lpwstr>Warwick</vt:lpwstr>
  </property>
  <property fmtid="{D5CDD505-2E9C-101B-9397-08002B2CF9AE}" pid="4" name="UserName">
    <vt:lpwstr>Sylvia de Bertodano</vt:lpwstr>
  </property>
  <property fmtid="{D5CDD505-2E9C-101B-9397-08002B2CF9AE}" pid="5" name="CourtAddress">
    <vt:lpwstr/>
  </property>
  <property fmtid="{D5CDD505-2E9C-101B-9397-08002B2CF9AE}" pid="6" name="HomeAddress">
    <vt:lpwstr/>
  </property>
  <property fmtid="{D5CDD505-2E9C-101B-9397-08002B2CF9AE}" pid="7" name="DefaultSaveLoc">
    <vt:lpwstr>C:\Users\Sylvia\Documents\2016\February\Trials</vt:lpwstr>
  </property>
  <property fmtid="{D5CDD505-2E9C-101B-9397-08002B2CF9AE}" pid="8" name="AutoBackup">
    <vt:bool>false</vt:bool>
  </property>
</Properties>
</file>