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51DD" w14:textId="77777777" w:rsidR="00822BD3" w:rsidRPr="00D77403" w:rsidRDefault="00822BD3" w:rsidP="004F1355">
      <w:pPr>
        <w:rPr>
          <w:b/>
          <w:bCs/>
        </w:rPr>
      </w:pPr>
      <w:r w:rsidRPr="00D77403">
        <w:rPr>
          <w:b/>
          <w:bCs/>
        </w:rPr>
        <w:t>HENSHAW J TALK TO NEWCASTLE BUSINESS &amp; PROPERTY COURTS FORUM</w:t>
      </w:r>
    </w:p>
    <w:p w14:paraId="38239E0E" w14:textId="7E3BD3B7" w:rsidR="00822BD3" w:rsidRPr="00D77403" w:rsidRDefault="00822BD3" w:rsidP="004F1355">
      <w:pPr>
        <w:rPr>
          <w:b/>
          <w:bCs/>
        </w:rPr>
      </w:pPr>
      <w:r w:rsidRPr="00D77403">
        <w:rPr>
          <w:b/>
          <w:bCs/>
        </w:rPr>
        <w:t>9 FEBRUARY 202</w:t>
      </w:r>
      <w:r w:rsidR="001656AB" w:rsidRPr="00D77403">
        <w:rPr>
          <w:b/>
          <w:bCs/>
        </w:rPr>
        <w:t>6</w:t>
      </w:r>
    </w:p>
    <w:p w14:paraId="6686AC08" w14:textId="77777777" w:rsidR="00822BD3" w:rsidRPr="00D77403" w:rsidRDefault="00822BD3" w:rsidP="004F1355">
      <w:pPr>
        <w:rPr>
          <w:b/>
          <w:bCs/>
        </w:rPr>
      </w:pPr>
    </w:p>
    <w:p w14:paraId="7C73DA15" w14:textId="436037EB" w:rsidR="00371795" w:rsidRPr="00D77403" w:rsidRDefault="009A7BDD" w:rsidP="004F1355">
      <w:r w:rsidRPr="00D77403">
        <w:rPr>
          <w:b/>
          <w:bCs/>
        </w:rPr>
        <w:t>“</w:t>
      </w:r>
      <w:r w:rsidRPr="00D77403">
        <w:rPr>
          <w:b/>
          <w:bCs/>
          <w:i/>
          <w:iCs/>
        </w:rPr>
        <w:t xml:space="preserve">THE </w:t>
      </w:r>
      <w:r w:rsidR="00822BD3" w:rsidRPr="00D77403">
        <w:rPr>
          <w:b/>
          <w:bCs/>
          <w:i/>
          <w:iCs/>
        </w:rPr>
        <w:t>NOT-SO-</w:t>
      </w:r>
      <w:r w:rsidRPr="00D77403">
        <w:rPr>
          <w:b/>
          <w:bCs/>
          <w:i/>
          <w:iCs/>
        </w:rPr>
        <w:t>ELUSIVE REPRESENTATION</w:t>
      </w:r>
      <w:r w:rsidRPr="00D77403">
        <w:rPr>
          <w:b/>
          <w:bCs/>
        </w:rPr>
        <w:t>”</w:t>
      </w:r>
      <w:r w:rsidR="003369F2">
        <w:rPr>
          <w:rStyle w:val="FootnoteReference"/>
          <w:b/>
          <w:bCs/>
        </w:rPr>
        <w:footnoteReference w:id="1"/>
      </w:r>
    </w:p>
    <w:p w14:paraId="225D94C8" w14:textId="77777777" w:rsidR="00B06065" w:rsidRPr="00D77403" w:rsidRDefault="00B06065" w:rsidP="004F1355"/>
    <w:p w14:paraId="13549737" w14:textId="57394533" w:rsidR="00387147" w:rsidRPr="00D77403" w:rsidRDefault="002C6839" w:rsidP="002D6F58">
      <w:pPr>
        <w:pStyle w:val="level1"/>
        <w:rPr>
          <w:szCs w:val="24"/>
        </w:rPr>
      </w:pPr>
      <w:r w:rsidRPr="00D77403">
        <w:rPr>
          <w:szCs w:val="24"/>
        </w:rPr>
        <w:t>Thank you for inviting me to speak this evening.</w:t>
      </w:r>
    </w:p>
    <w:p w14:paraId="1AAB11B1" w14:textId="250BCAE2" w:rsidR="008B57F2" w:rsidRPr="00D77403" w:rsidRDefault="002C6839" w:rsidP="002D6F58">
      <w:pPr>
        <w:pStyle w:val="level1"/>
        <w:rPr>
          <w:szCs w:val="24"/>
        </w:rPr>
      </w:pPr>
      <w:r w:rsidRPr="00D77403">
        <w:rPr>
          <w:szCs w:val="24"/>
        </w:rPr>
        <w:t xml:space="preserve">Imagine you are </w:t>
      </w:r>
      <w:r w:rsidR="00242EC7" w:rsidRPr="00D77403">
        <w:rPr>
          <w:szCs w:val="24"/>
        </w:rPr>
        <w:t xml:space="preserve">having dinner in a Chinese </w:t>
      </w:r>
      <w:r w:rsidRPr="00D77403">
        <w:rPr>
          <w:szCs w:val="24"/>
        </w:rPr>
        <w:t xml:space="preserve">restaurant.  </w:t>
      </w:r>
      <w:r w:rsidR="00930870" w:rsidRPr="00D77403">
        <w:rPr>
          <w:szCs w:val="24"/>
        </w:rPr>
        <w:t xml:space="preserve">There is a group </w:t>
      </w:r>
      <w:r w:rsidR="00242EC7" w:rsidRPr="00D77403">
        <w:rPr>
          <w:szCs w:val="24"/>
        </w:rPr>
        <w:t xml:space="preserve">of five </w:t>
      </w:r>
      <w:r w:rsidR="00930870" w:rsidRPr="00D77403">
        <w:rPr>
          <w:szCs w:val="24"/>
        </w:rPr>
        <w:t>at the next table.  They order food and eat it.</w:t>
      </w:r>
      <w:r w:rsidR="00355E39" w:rsidRPr="00D77403">
        <w:rPr>
          <w:szCs w:val="24"/>
        </w:rPr>
        <w:t xml:space="preserve">  You overhear from their discussion that they then </w:t>
      </w:r>
      <w:r w:rsidR="009969D5" w:rsidRPr="00D77403">
        <w:rPr>
          <w:szCs w:val="24"/>
        </w:rPr>
        <w:t>decide</w:t>
      </w:r>
      <w:r w:rsidR="00355E39" w:rsidRPr="00D77403">
        <w:rPr>
          <w:szCs w:val="24"/>
        </w:rPr>
        <w:t xml:space="preserve"> not to pay.  </w:t>
      </w:r>
      <w:r w:rsidR="00AC24D5" w:rsidRPr="00D77403">
        <w:rPr>
          <w:szCs w:val="24"/>
        </w:rPr>
        <w:t xml:space="preserve">As soon as the waiter next disappears into the kitchen, </w:t>
      </w:r>
      <w:r w:rsidR="00350ECF" w:rsidRPr="00D77403">
        <w:rPr>
          <w:szCs w:val="24"/>
        </w:rPr>
        <w:t xml:space="preserve">the group runs out of the restaurant and down the street.  </w:t>
      </w:r>
      <w:r w:rsidR="006A3D1A" w:rsidRPr="00D77403">
        <w:rPr>
          <w:szCs w:val="24"/>
        </w:rPr>
        <w:t>One of them is later prosecuted for evading payment by a deception.</w:t>
      </w:r>
      <w:r w:rsidR="00141D08" w:rsidRPr="00D77403">
        <w:rPr>
          <w:szCs w:val="24"/>
        </w:rPr>
        <w:t xml:space="preserve">  </w:t>
      </w:r>
      <w:r w:rsidR="00CA3FD1" w:rsidRPr="00D77403">
        <w:rPr>
          <w:szCs w:val="24"/>
        </w:rPr>
        <w:t xml:space="preserve">Assume that by ordering the food, eating it and then remaining in the restaurant for a while, the defendant makes an implied representation </w:t>
      </w:r>
      <w:r w:rsidR="006A63A0" w:rsidRPr="00D77403">
        <w:rPr>
          <w:szCs w:val="24"/>
        </w:rPr>
        <w:t xml:space="preserve">that he intends to pay.  Does it matter what exactly goes on in the waiter’s mind?  What if there is no evidence that the waiter </w:t>
      </w:r>
      <w:r w:rsidR="007B73A0" w:rsidRPr="00D77403">
        <w:rPr>
          <w:szCs w:val="24"/>
        </w:rPr>
        <w:t xml:space="preserve">was in fact </w:t>
      </w:r>
      <w:r w:rsidR="009969D5" w:rsidRPr="00D77403">
        <w:rPr>
          <w:szCs w:val="24"/>
        </w:rPr>
        <w:t>consciously influenced</w:t>
      </w:r>
      <w:r w:rsidR="007B73A0" w:rsidRPr="00D77403">
        <w:rPr>
          <w:szCs w:val="24"/>
        </w:rPr>
        <w:t xml:space="preserve"> by anything that happened after the defendant </w:t>
      </w:r>
      <w:r w:rsidR="005C666A" w:rsidRPr="00D77403">
        <w:rPr>
          <w:szCs w:val="24"/>
        </w:rPr>
        <w:t xml:space="preserve">changed his mind about paying?  </w:t>
      </w:r>
    </w:p>
    <w:p w14:paraId="1087BFE7" w14:textId="59A2587F" w:rsidR="0052518F" w:rsidRPr="00D77403" w:rsidRDefault="00B47AD5" w:rsidP="0052518F">
      <w:pPr>
        <w:pStyle w:val="level1"/>
        <w:rPr>
          <w:szCs w:val="24"/>
        </w:rPr>
      </w:pPr>
      <w:r w:rsidRPr="00D77403">
        <w:rPr>
          <w:szCs w:val="24"/>
        </w:rPr>
        <w:t>The majority of the House of Lords in</w:t>
      </w:r>
      <w:r w:rsidR="0052518F" w:rsidRPr="00D77403">
        <w:rPr>
          <w:szCs w:val="24"/>
        </w:rPr>
        <w:t xml:space="preserve"> </w:t>
      </w:r>
      <w:r w:rsidR="0052518F" w:rsidRPr="00D77403">
        <w:rPr>
          <w:i/>
          <w:iCs/>
          <w:szCs w:val="24"/>
        </w:rPr>
        <w:t xml:space="preserve">DPP v Ray (a.k.a. Ray v Sempers) </w:t>
      </w:r>
      <w:r w:rsidR="0052518F" w:rsidRPr="00D77403">
        <w:rPr>
          <w:szCs w:val="24"/>
        </w:rPr>
        <w:t xml:space="preserve">[1974] AC 370 </w:t>
      </w:r>
      <w:r w:rsidR="003845F7" w:rsidRPr="00D77403">
        <w:rPr>
          <w:szCs w:val="24"/>
        </w:rPr>
        <w:t>did not appear to think that mattered</w:t>
      </w:r>
      <w:r w:rsidR="0052518F" w:rsidRPr="00D77403">
        <w:rPr>
          <w:szCs w:val="24"/>
        </w:rPr>
        <w:t xml:space="preserve">.  </w:t>
      </w:r>
      <w:r w:rsidR="00062443" w:rsidRPr="00D77403">
        <w:rPr>
          <w:szCs w:val="24"/>
        </w:rPr>
        <w:t xml:space="preserve">Reversing Lord Widgery CJ, </w:t>
      </w:r>
      <w:r w:rsidR="000B0487" w:rsidRPr="00D77403">
        <w:rPr>
          <w:szCs w:val="24"/>
        </w:rPr>
        <w:t xml:space="preserve">they </w:t>
      </w:r>
      <w:r w:rsidR="00361720" w:rsidRPr="00D77403">
        <w:rPr>
          <w:szCs w:val="24"/>
        </w:rPr>
        <w:t>affirmed the defendant’s conviction by the magistrates.  The</w:t>
      </w:r>
      <w:r w:rsidR="00C701B8" w:rsidRPr="00D77403">
        <w:rPr>
          <w:szCs w:val="24"/>
        </w:rPr>
        <w:t xml:space="preserve">y </w:t>
      </w:r>
      <w:r w:rsidR="0052518F" w:rsidRPr="00D77403">
        <w:rPr>
          <w:szCs w:val="24"/>
        </w:rPr>
        <w:t xml:space="preserve">held that he had made a continuing representation, the effect of which was that he continued to be treated as an ordinary customer whose conduct did not cause suspicion; and </w:t>
      </w:r>
      <w:r w:rsidR="0052518F" w:rsidRPr="00D77403">
        <w:rPr>
          <w:i/>
          <w:iCs/>
          <w:szCs w:val="24"/>
        </w:rPr>
        <w:t>“[i]n consequence the waiter was off his guard and vanished into the kitchen”</w:t>
      </w:r>
      <w:r w:rsidR="0052518F" w:rsidRPr="00D77403">
        <w:rPr>
          <w:szCs w:val="24"/>
        </w:rPr>
        <w:t xml:space="preserve"> (p.383 per Lord MacDermott).  </w:t>
      </w:r>
    </w:p>
    <w:p w14:paraId="42D9BECF" w14:textId="77777777" w:rsidR="0052518F" w:rsidRPr="00D77403" w:rsidRDefault="0052518F" w:rsidP="0052518F">
      <w:pPr>
        <w:pStyle w:val="level1"/>
        <w:rPr>
          <w:szCs w:val="24"/>
        </w:rPr>
      </w:pPr>
      <w:r w:rsidRPr="00D77403">
        <w:rPr>
          <w:szCs w:val="24"/>
        </w:rPr>
        <w:t>Lord Morris (another member of the majority) first addressed the representation made at the outset when the meal was ordered:</w:t>
      </w:r>
    </w:p>
    <w:p w14:paraId="3679E663" w14:textId="77777777" w:rsidR="0052518F" w:rsidRPr="00D77403" w:rsidRDefault="0052518F" w:rsidP="0052518F">
      <w:pPr>
        <w:pStyle w:val="quote0"/>
        <w:rPr>
          <w:szCs w:val="24"/>
        </w:rPr>
      </w:pPr>
      <w:r w:rsidRPr="00D77403">
        <w:rPr>
          <w:szCs w:val="24"/>
        </w:rPr>
        <w:t xml:space="preserve">“… when the respondent ordered his meal he impliedly made to the waiter the ordinary representation of the ordinary customer that it was his intention to pay. He induced the waiter to believe that that was his intention. Furthermore, on the facts as found it is clear that all concerned (the waiter, the respondent and his companions) proceeded on the basis that an ordinary customer </w:t>
      </w:r>
      <w:r w:rsidRPr="00D77403">
        <w:rPr>
          <w:szCs w:val="24"/>
        </w:rPr>
        <w:lastRenderedPageBreak/>
        <w:t>would pay his bill before leaving. The waiter would not have accepted the order or served the meal had there not been the implied representation” (p.385-386)</w:t>
      </w:r>
    </w:p>
    <w:p w14:paraId="7D883FF9" w14:textId="41436E68" w:rsidR="0052518F" w:rsidRPr="00D77403" w:rsidRDefault="0052518F" w:rsidP="0052518F">
      <w:pPr>
        <w:pStyle w:val="level1"/>
        <w:rPr>
          <w:szCs w:val="24"/>
        </w:rPr>
      </w:pPr>
      <w:r w:rsidRPr="00D77403">
        <w:rPr>
          <w:szCs w:val="24"/>
        </w:rPr>
        <w:t xml:space="preserve">As to </w:t>
      </w:r>
      <w:r w:rsidR="00C701B8" w:rsidRPr="00D77403">
        <w:rPr>
          <w:szCs w:val="24"/>
        </w:rPr>
        <w:t xml:space="preserve">the </w:t>
      </w:r>
      <w:r w:rsidRPr="00D77403">
        <w:rPr>
          <w:szCs w:val="24"/>
        </w:rPr>
        <w:t xml:space="preserve">change of </w:t>
      </w:r>
      <w:r w:rsidR="00C701B8" w:rsidRPr="00D77403">
        <w:rPr>
          <w:szCs w:val="24"/>
        </w:rPr>
        <w:t>heart</w:t>
      </w:r>
      <w:r w:rsidRPr="00D77403">
        <w:rPr>
          <w:szCs w:val="24"/>
        </w:rPr>
        <w:t xml:space="preserve">, Lord Morris said: </w:t>
      </w:r>
      <w:r w:rsidRPr="00D77403">
        <w:rPr>
          <w:i/>
          <w:iCs/>
          <w:szCs w:val="24"/>
        </w:rPr>
        <w:t>“The waiter proceeded on the basis that the implied representation made to him (i.e. of an honest intention to pay) was effective. The waiter was caused to refrain from taking certain courses of action which but for the representation he would have taken.”</w:t>
      </w:r>
      <w:r w:rsidRPr="00D77403">
        <w:rPr>
          <w:szCs w:val="24"/>
        </w:rPr>
        <w:t xml:space="preserve"> (p.387).  Similarly, Lord Pearson said the false continuation of the representation </w:t>
      </w:r>
      <w:r w:rsidRPr="00D77403">
        <w:rPr>
          <w:i/>
          <w:iCs/>
          <w:szCs w:val="24"/>
        </w:rPr>
        <w:t xml:space="preserve">“deceived the waiter, inducing him to go to the kitchen” </w:t>
      </w:r>
      <w:r w:rsidRPr="00D77403">
        <w:rPr>
          <w:szCs w:val="24"/>
        </w:rPr>
        <w:t xml:space="preserve">(p.391).  </w:t>
      </w:r>
    </w:p>
    <w:p w14:paraId="06EA42B8" w14:textId="304B6CEE" w:rsidR="00E43DE5" w:rsidRPr="00D77403" w:rsidRDefault="00E43DE5" w:rsidP="0052518F">
      <w:pPr>
        <w:pStyle w:val="level1"/>
        <w:rPr>
          <w:szCs w:val="24"/>
        </w:rPr>
      </w:pPr>
      <w:r w:rsidRPr="00D77403">
        <w:rPr>
          <w:szCs w:val="24"/>
        </w:rPr>
        <w:t xml:space="preserve">Whether any of this actually crossed the waiter’s mind is not known – there was certainly no evidence to that effect.  Yet it would be strange if </w:t>
      </w:r>
      <w:r w:rsidR="00EC3B53" w:rsidRPr="00D77403">
        <w:rPr>
          <w:szCs w:val="24"/>
        </w:rPr>
        <w:t xml:space="preserve">the commission or non-commission of the offence depended </w:t>
      </w:r>
      <w:r w:rsidR="007368C1" w:rsidRPr="00D77403">
        <w:rPr>
          <w:szCs w:val="24"/>
        </w:rPr>
        <w:t xml:space="preserve">on whether </w:t>
      </w:r>
      <w:r w:rsidR="00CB70B1" w:rsidRPr="00D77403">
        <w:rPr>
          <w:szCs w:val="24"/>
        </w:rPr>
        <w:t xml:space="preserve">or not the prospect of payment for the food had crossed the waiter’s mind.  </w:t>
      </w:r>
      <w:r w:rsidR="004B21BE" w:rsidRPr="00D77403">
        <w:rPr>
          <w:szCs w:val="24"/>
        </w:rPr>
        <w:t xml:space="preserve">Either way, </w:t>
      </w:r>
      <w:r w:rsidR="00674926" w:rsidRPr="00D77403">
        <w:rPr>
          <w:szCs w:val="24"/>
        </w:rPr>
        <w:t>it is inherent in the situation that a person ordering food in a restaurant</w:t>
      </w:r>
      <w:r w:rsidR="006A2022" w:rsidRPr="00D77403">
        <w:rPr>
          <w:szCs w:val="24"/>
        </w:rPr>
        <w:t xml:space="preserve"> </w:t>
      </w:r>
      <w:r w:rsidR="007E39A2" w:rsidRPr="00D77403">
        <w:rPr>
          <w:szCs w:val="24"/>
        </w:rPr>
        <w:t>will be expected to pay for it, and in that sense the</w:t>
      </w:r>
      <w:r w:rsidR="001B7D5F" w:rsidRPr="00D77403">
        <w:rPr>
          <w:szCs w:val="24"/>
        </w:rPr>
        <w:t xml:space="preserve"> implied representation may be said to have induced the waiter and/or restaurant manager </w:t>
      </w:r>
      <w:r w:rsidR="00826154" w:rsidRPr="00D77403">
        <w:rPr>
          <w:szCs w:val="24"/>
        </w:rPr>
        <w:t xml:space="preserve">to have </w:t>
      </w:r>
      <w:r w:rsidR="00CC148B" w:rsidRPr="00D77403">
        <w:rPr>
          <w:szCs w:val="24"/>
        </w:rPr>
        <w:t>served the customer and/or refrained from takin</w:t>
      </w:r>
      <w:r w:rsidR="00060DDA" w:rsidRPr="00D77403">
        <w:rPr>
          <w:szCs w:val="24"/>
        </w:rPr>
        <w:t>g steps of the kind they might take with a defaulting customer.</w:t>
      </w:r>
      <w:r w:rsidR="00CF270A" w:rsidRPr="00D77403">
        <w:rPr>
          <w:szCs w:val="24"/>
        </w:rPr>
        <w:t xml:space="preserve">  </w:t>
      </w:r>
      <w:r w:rsidR="00C701B8" w:rsidRPr="00D77403">
        <w:rPr>
          <w:szCs w:val="24"/>
        </w:rPr>
        <w:t>So</w:t>
      </w:r>
      <w:r w:rsidR="00CF270A" w:rsidRPr="00D77403">
        <w:rPr>
          <w:szCs w:val="24"/>
        </w:rPr>
        <w:t xml:space="preserve"> there can be said to be inducement even if the person induced </w:t>
      </w:r>
      <w:r w:rsidR="004E0C2E" w:rsidRPr="00D77403">
        <w:rPr>
          <w:szCs w:val="24"/>
        </w:rPr>
        <w:t xml:space="preserve">has given no conscious thought to the implied representation.  </w:t>
      </w:r>
    </w:p>
    <w:p w14:paraId="67E3398C" w14:textId="24707C9F" w:rsidR="00262B6A" w:rsidRPr="00D77403" w:rsidRDefault="00133307" w:rsidP="00E439A6">
      <w:pPr>
        <w:pStyle w:val="level1"/>
        <w:rPr>
          <w:szCs w:val="24"/>
        </w:rPr>
      </w:pPr>
      <w:r w:rsidRPr="00D77403">
        <w:rPr>
          <w:szCs w:val="24"/>
        </w:rPr>
        <w:t xml:space="preserve">If that works in a hospitality </w:t>
      </w:r>
      <w:r w:rsidR="00C6302C" w:rsidRPr="00D77403">
        <w:rPr>
          <w:szCs w:val="24"/>
        </w:rPr>
        <w:t>situation</w:t>
      </w:r>
      <w:r w:rsidRPr="00D77403">
        <w:rPr>
          <w:szCs w:val="24"/>
        </w:rPr>
        <w:t xml:space="preserve">, why not also in </w:t>
      </w:r>
      <w:r w:rsidR="006D1881" w:rsidRPr="00D77403">
        <w:rPr>
          <w:szCs w:val="24"/>
        </w:rPr>
        <w:t xml:space="preserve">a commercial </w:t>
      </w:r>
      <w:r w:rsidR="00E439A6" w:rsidRPr="00D77403">
        <w:rPr>
          <w:szCs w:val="24"/>
        </w:rPr>
        <w:t xml:space="preserve">one </w:t>
      </w:r>
      <w:r w:rsidR="006D1881" w:rsidRPr="00D77403">
        <w:rPr>
          <w:szCs w:val="24"/>
        </w:rPr>
        <w:t xml:space="preserve">such as a financial investment?  </w:t>
      </w:r>
      <w:r w:rsidR="00C6302C" w:rsidRPr="00D77403">
        <w:rPr>
          <w:szCs w:val="24"/>
        </w:rPr>
        <w:t>After all, there is certainly scope for implied representations in that context.</w:t>
      </w:r>
      <w:r w:rsidR="00E439A6" w:rsidRPr="00D77403">
        <w:rPr>
          <w:szCs w:val="24"/>
        </w:rPr>
        <w:t xml:space="preserve">  </w:t>
      </w:r>
      <w:r w:rsidR="00600299" w:rsidRPr="00D77403">
        <w:rPr>
          <w:szCs w:val="24"/>
        </w:rPr>
        <w:t xml:space="preserve">In </w:t>
      </w:r>
      <w:r w:rsidR="00CB3606" w:rsidRPr="00D77403">
        <w:rPr>
          <w:i/>
          <w:iCs/>
          <w:szCs w:val="24"/>
        </w:rPr>
        <w:t>Bankers Trust v Dharmala</w:t>
      </w:r>
      <w:r w:rsidR="00CB3606" w:rsidRPr="00D77403">
        <w:rPr>
          <w:szCs w:val="24"/>
        </w:rPr>
        <w:t xml:space="preserve"> </w:t>
      </w:r>
      <w:r w:rsidR="00580B89" w:rsidRPr="00D77403">
        <w:rPr>
          <w:szCs w:val="24"/>
        </w:rPr>
        <w:t xml:space="preserve">[1996] </w:t>
      </w:r>
      <w:r w:rsidR="00332F75" w:rsidRPr="00D77403">
        <w:rPr>
          <w:szCs w:val="24"/>
        </w:rPr>
        <w:t>CLC 518</w:t>
      </w:r>
      <w:r w:rsidR="00600299" w:rsidRPr="00D77403">
        <w:rPr>
          <w:szCs w:val="24"/>
        </w:rPr>
        <w:t>,</w:t>
      </w:r>
      <w:r w:rsidR="00332F75" w:rsidRPr="00D77403">
        <w:rPr>
          <w:szCs w:val="24"/>
        </w:rPr>
        <w:t xml:space="preserve"> </w:t>
      </w:r>
      <w:r w:rsidR="001A128E" w:rsidRPr="00D77403">
        <w:rPr>
          <w:szCs w:val="24"/>
        </w:rPr>
        <w:t xml:space="preserve">the </w:t>
      </w:r>
      <w:r w:rsidR="00A05ED0" w:rsidRPr="00D77403">
        <w:rPr>
          <w:szCs w:val="24"/>
        </w:rPr>
        <w:t>defendant Dharmala</w:t>
      </w:r>
      <w:r w:rsidR="001A128E" w:rsidRPr="00D77403">
        <w:rPr>
          <w:szCs w:val="24"/>
        </w:rPr>
        <w:t xml:space="preserve"> alleged that it had been induced to enter into </w:t>
      </w:r>
      <w:r w:rsidR="00A05ED0" w:rsidRPr="00D77403">
        <w:rPr>
          <w:szCs w:val="24"/>
        </w:rPr>
        <w:t xml:space="preserve">two </w:t>
      </w:r>
      <w:r w:rsidR="001A128E" w:rsidRPr="00D77403">
        <w:rPr>
          <w:szCs w:val="24"/>
        </w:rPr>
        <w:t xml:space="preserve">interest rate swaps </w:t>
      </w:r>
      <w:r w:rsidR="005E79EB" w:rsidRPr="00D77403">
        <w:rPr>
          <w:szCs w:val="24"/>
        </w:rPr>
        <w:t xml:space="preserve">by representations </w:t>
      </w:r>
      <w:r w:rsidR="001839FF" w:rsidRPr="00D77403">
        <w:rPr>
          <w:szCs w:val="24"/>
        </w:rPr>
        <w:t xml:space="preserve">about, among other things, the safety and suitability of the transactions.  The swaps became heavily out of the money after </w:t>
      </w:r>
      <w:r w:rsidR="004B0197" w:rsidRPr="00D77403">
        <w:rPr>
          <w:szCs w:val="24"/>
        </w:rPr>
        <w:t>unexpected rises in US interest rates</w:t>
      </w:r>
      <w:r w:rsidR="005C218A" w:rsidRPr="00D77403">
        <w:rPr>
          <w:szCs w:val="24"/>
        </w:rPr>
        <w:t xml:space="preserve"> in 1994</w:t>
      </w:r>
      <w:r w:rsidR="00DD0026" w:rsidRPr="00D77403">
        <w:rPr>
          <w:szCs w:val="24"/>
        </w:rPr>
        <w:t xml:space="preserve">.  The judge, Mance J, </w:t>
      </w:r>
      <w:r w:rsidR="00A7372E" w:rsidRPr="00D77403">
        <w:rPr>
          <w:szCs w:val="24"/>
        </w:rPr>
        <w:t>accepted that</w:t>
      </w:r>
      <w:r w:rsidR="00B17BAA" w:rsidRPr="00D77403">
        <w:rPr>
          <w:szCs w:val="24"/>
        </w:rPr>
        <w:t xml:space="preserve"> a representation </w:t>
      </w:r>
      <w:r w:rsidR="00A05ED0" w:rsidRPr="00D77403">
        <w:rPr>
          <w:szCs w:val="24"/>
        </w:rPr>
        <w:t>about</w:t>
      </w:r>
      <w:r w:rsidR="00B17BAA" w:rsidRPr="00D77403">
        <w:rPr>
          <w:szCs w:val="24"/>
        </w:rPr>
        <w:t xml:space="preserve"> a matter of opinion, as opposed to fact, could be actionable if </w:t>
      </w:r>
      <w:r w:rsidR="00E03CA1" w:rsidRPr="00D77403">
        <w:rPr>
          <w:szCs w:val="24"/>
        </w:rPr>
        <w:t>it</w:t>
      </w:r>
      <w:r w:rsidR="008B1B35" w:rsidRPr="00D77403">
        <w:rPr>
          <w:szCs w:val="24"/>
        </w:rPr>
        <w:t xml:space="preserve"> implied </w:t>
      </w:r>
      <w:r w:rsidR="00BD2C4F" w:rsidRPr="00D77403">
        <w:rPr>
          <w:szCs w:val="24"/>
        </w:rPr>
        <w:t>(a)</w:t>
      </w:r>
      <w:r w:rsidR="00AF348F" w:rsidRPr="00D77403">
        <w:rPr>
          <w:szCs w:val="24"/>
        </w:rPr>
        <w:t xml:space="preserve"> that</w:t>
      </w:r>
      <w:r w:rsidR="00BD2C4F" w:rsidRPr="00D77403">
        <w:rPr>
          <w:szCs w:val="24"/>
        </w:rPr>
        <w:t xml:space="preserve"> </w:t>
      </w:r>
      <w:r w:rsidR="008B1B35" w:rsidRPr="00D77403">
        <w:rPr>
          <w:szCs w:val="24"/>
        </w:rPr>
        <w:t xml:space="preserve">the representor had knowledge or had </w:t>
      </w:r>
      <w:r w:rsidR="00914B21" w:rsidRPr="00D77403">
        <w:rPr>
          <w:szCs w:val="24"/>
        </w:rPr>
        <w:t xml:space="preserve">made investigations to justify the opinion </w:t>
      </w:r>
      <w:r w:rsidR="00417C71" w:rsidRPr="00D77403">
        <w:rPr>
          <w:szCs w:val="24"/>
        </w:rPr>
        <w:t xml:space="preserve">expressed, </w:t>
      </w:r>
      <w:r w:rsidR="00914B21" w:rsidRPr="00D77403">
        <w:rPr>
          <w:szCs w:val="24"/>
        </w:rPr>
        <w:t xml:space="preserve">and/or (b) </w:t>
      </w:r>
      <w:r w:rsidR="00AF348F" w:rsidRPr="00D77403">
        <w:rPr>
          <w:szCs w:val="24"/>
        </w:rPr>
        <w:t xml:space="preserve">that there were facts which </w:t>
      </w:r>
      <w:r w:rsidR="00C730B8" w:rsidRPr="00D77403">
        <w:rPr>
          <w:szCs w:val="24"/>
        </w:rPr>
        <w:t xml:space="preserve">could reasonably justify the </w:t>
      </w:r>
      <w:r w:rsidR="001066F4" w:rsidRPr="00D77403">
        <w:rPr>
          <w:szCs w:val="24"/>
        </w:rPr>
        <w:t xml:space="preserve">representor in forming the </w:t>
      </w:r>
      <w:r w:rsidR="00C730B8" w:rsidRPr="00D77403">
        <w:rPr>
          <w:szCs w:val="24"/>
        </w:rPr>
        <w:t>opinion expressed</w:t>
      </w:r>
      <w:r w:rsidR="001066F4" w:rsidRPr="00D77403">
        <w:rPr>
          <w:szCs w:val="24"/>
        </w:rPr>
        <w:t xml:space="preserve"> (p.530)</w:t>
      </w:r>
      <w:r w:rsidR="00C730B8" w:rsidRPr="00D77403">
        <w:rPr>
          <w:szCs w:val="24"/>
        </w:rPr>
        <w:t>.</w:t>
      </w:r>
      <w:r w:rsidR="001066F4" w:rsidRPr="00D77403">
        <w:rPr>
          <w:szCs w:val="24"/>
        </w:rPr>
        <w:t xml:space="preserve">  </w:t>
      </w:r>
    </w:p>
    <w:p w14:paraId="459D1D17" w14:textId="74EC1643" w:rsidR="00870D19" w:rsidRPr="00D77403" w:rsidRDefault="00805621" w:rsidP="002D6F58">
      <w:pPr>
        <w:pStyle w:val="level1"/>
        <w:rPr>
          <w:szCs w:val="24"/>
        </w:rPr>
      </w:pPr>
      <w:r w:rsidRPr="00D77403">
        <w:rPr>
          <w:szCs w:val="24"/>
        </w:rPr>
        <w:lastRenderedPageBreak/>
        <w:t xml:space="preserve">However, the judge found </w:t>
      </w:r>
      <w:r w:rsidR="004E045F" w:rsidRPr="00D77403">
        <w:rPr>
          <w:szCs w:val="24"/>
        </w:rPr>
        <w:t>the</w:t>
      </w:r>
      <w:r w:rsidRPr="00D77403">
        <w:rPr>
          <w:szCs w:val="24"/>
        </w:rPr>
        <w:t xml:space="preserve"> alleged representations </w:t>
      </w:r>
      <w:r w:rsidR="004E045F" w:rsidRPr="00D77403">
        <w:rPr>
          <w:szCs w:val="24"/>
        </w:rPr>
        <w:t xml:space="preserve">about </w:t>
      </w:r>
      <w:r w:rsidR="006B397B" w:rsidRPr="00D77403">
        <w:rPr>
          <w:szCs w:val="24"/>
        </w:rPr>
        <w:t>the first</w:t>
      </w:r>
      <w:r w:rsidR="004E045F" w:rsidRPr="00D77403">
        <w:rPr>
          <w:szCs w:val="24"/>
        </w:rPr>
        <w:t xml:space="preserve"> swap </w:t>
      </w:r>
      <w:r w:rsidRPr="00D77403">
        <w:rPr>
          <w:szCs w:val="24"/>
        </w:rPr>
        <w:t>not to be actionable because</w:t>
      </w:r>
      <w:r w:rsidR="00F9417E" w:rsidRPr="00D77403">
        <w:rPr>
          <w:szCs w:val="24"/>
        </w:rPr>
        <w:t xml:space="preserve">, among other things, the representees were too </w:t>
      </w:r>
      <w:r w:rsidR="00262B6A" w:rsidRPr="00D77403">
        <w:rPr>
          <w:szCs w:val="24"/>
        </w:rPr>
        <w:t xml:space="preserve">experienced </w:t>
      </w:r>
      <w:r w:rsidR="00F9417E" w:rsidRPr="00D77403">
        <w:rPr>
          <w:szCs w:val="24"/>
        </w:rPr>
        <w:t xml:space="preserve">and </w:t>
      </w:r>
      <w:r w:rsidR="00F45571" w:rsidRPr="00D77403">
        <w:rPr>
          <w:szCs w:val="24"/>
        </w:rPr>
        <w:t>intelligent to have understood the</w:t>
      </w:r>
      <w:r w:rsidR="00D63F6D" w:rsidRPr="00D77403">
        <w:rPr>
          <w:szCs w:val="24"/>
        </w:rPr>
        <w:t>m</w:t>
      </w:r>
      <w:r w:rsidR="00F45571" w:rsidRPr="00D77403">
        <w:rPr>
          <w:szCs w:val="24"/>
        </w:rPr>
        <w:t xml:space="preserve"> to have the </w:t>
      </w:r>
      <w:r w:rsidR="00262B6A" w:rsidRPr="00D77403">
        <w:rPr>
          <w:szCs w:val="24"/>
        </w:rPr>
        <w:t>meaning</w:t>
      </w:r>
      <w:r w:rsidR="00F45571" w:rsidRPr="00D77403">
        <w:rPr>
          <w:szCs w:val="24"/>
        </w:rPr>
        <w:t xml:space="preserve"> alleged (p.</w:t>
      </w:r>
      <w:r w:rsidR="00CB1FBD" w:rsidRPr="00D77403">
        <w:rPr>
          <w:szCs w:val="24"/>
        </w:rPr>
        <w:t>550)</w:t>
      </w:r>
      <w:r w:rsidR="004E045F" w:rsidRPr="00D77403">
        <w:rPr>
          <w:szCs w:val="24"/>
        </w:rPr>
        <w:t xml:space="preserve">.  </w:t>
      </w:r>
      <w:r w:rsidR="00262B6A" w:rsidRPr="00D77403">
        <w:rPr>
          <w:szCs w:val="24"/>
        </w:rPr>
        <w:t>He found</w:t>
      </w:r>
      <w:r w:rsidR="00233FC1" w:rsidRPr="00D77403">
        <w:rPr>
          <w:szCs w:val="24"/>
        </w:rPr>
        <w:t xml:space="preserve"> that</w:t>
      </w:r>
      <w:r w:rsidR="00304BA7" w:rsidRPr="00D77403">
        <w:rPr>
          <w:szCs w:val="24"/>
        </w:rPr>
        <w:t xml:space="preserve"> the bank’s presentation </w:t>
      </w:r>
      <w:r w:rsidR="00262B6A" w:rsidRPr="00D77403">
        <w:rPr>
          <w:szCs w:val="24"/>
        </w:rPr>
        <w:t xml:space="preserve">about the </w:t>
      </w:r>
      <w:r w:rsidR="00564C97" w:rsidRPr="00D77403">
        <w:rPr>
          <w:szCs w:val="24"/>
        </w:rPr>
        <w:t>second</w:t>
      </w:r>
      <w:r w:rsidR="00262B6A" w:rsidRPr="00D77403">
        <w:rPr>
          <w:szCs w:val="24"/>
        </w:rPr>
        <w:t xml:space="preserve"> swap </w:t>
      </w:r>
      <w:r w:rsidR="009B070B" w:rsidRPr="00D77403">
        <w:rPr>
          <w:szCs w:val="24"/>
        </w:rPr>
        <w:t xml:space="preserve">did create a risk that some recipients would accept it without qualification, and in that sense was misleading.  However, </w:t>
      </w:r>
      <w:r w:rsidR="00114A72" w:rsidRPr="00D77403">
        <w:rPr>
          <w:szCs w:val="24"/>
        </w:rPr>
        <w:t>Dharmala</w:t>
      </w:r>
      <w:r w:rsidR="009B070B" w:rsidRPr="00D77403">
        <w:rPr>
          <w:szCs w:val="24"/>
        </w:rPr>
        <w:t xml:space="preserve"> </w:t>
      </w:r>
      <w:r w:rsidR="0022234A" w:rsidRPr="00D77403">
        <w:rPr>
          <w:szCs w:val="24"/>
        </w:rPr>
        <w:t>had no direct evidence that any misrepresented matters were fundamental to its decision, was by and large capable of evaluating and looking after its own position, and did so (p.</w:t>
      </w:r>
      <w:r w:rsidR="00CA50A8" w:rsidRPr="00D77403">
        <w:rPr>
          <w:szCs w:val="24"/>
        </w:rPr>
        <w:t>573).</w:t>
      </w:r>
    </w:p>
    <w:p w14:paraId="472A7C60" w14:textId="04EE2073" w:rsidR="00E439A6" w:rsidRPr="00D77403" w:rsidRDefault="00E439A6" w:rsidP="00E439A6">
      <w:pPr>
        <w:pStyle w:val="level1"/>
        <w:rPr>
          <w:szCs w:val="24"/>
        </w:rPr>
      </w:pPr>
      <w:r w:rsidRPr="00D77403">
        <w:rPr>
          <w:szCs w:val="24"/>
        </w:rPr>
        <w:t xml:space="preserve">A series of cases since 2010 </w:t>
      </w:r>
      <w:r w:rsidR="00E74B78" w:rsidRPr="00D77403">
        <w:rPr>
          <w:szCs w:val="24"/>
        </w:rPr>
        <w:t xml:space="preserve">have </w:t>
      </w:r>
      <w:r w:rsidRPr="00D77403">
        <w:rPr>
          <w:szCs w:val="24"/>
        </w:rPr>
        <w:t xml:space="preserve">suggested that a </w:t>
      </w:r>
      <w:r w:rsidR="00E74B78" w:rsidRPr="00D77403">
        <w:rPr>
          <w:szCs w:val="24"/>
        </w:rPr>
        <w:t>deceit</w:t>
      </w:r>
      <w:r w:rsidRPr="00D77403">
        <w:rPr>
          <w:szCs w:val="24"/>
        </w:rPr>
        <w:t xml:space="preserve"> claim could not succeed unless the representee could be shown to have relied on the misrepresentation, and that that required him or her to have been consciously aware of it.  </w:t>
      </w:r>
      <w:r w:rsidR="00366A3F" w:rsidRPr="00D77403">
        <w:rPr>
          <w:szCs w:val="24"/>
        </w:rPr>
        <w:t xml:space="preserve">Christopher Clarke J in </w:t>
      </w:r>
      <w:r w:rsidR="00366A3F" w:rsidRPr="00D77403">
        <w:rPr>
          <w:i/>
          <w:iCs/>
          <w:szCs w:val="24"/>
        </w:rPr>
        <w:t>Raiffeisen Zentralbank Osterreich AG v RBS</w:t>
      </w:r>
      <w:r w:rsidR="00366A3F" w:rsidRPr="00D77403">
        <w:rPr>
          <w:szCs w:val="24"/>
        </w:rPr>
        <w:t xml:space="preserve"> [2010] EWHC 1392 (Comm)</w:t>
      </w:r>
      <w:r w:rsidR="00CB326E" w:rsidRPr="00D77403">
        <w:rPr>
          <w:szCs w:val="24"/>
        </w:rPr>
        <w:t>, a syndicated lending case,</w:t>
      </w:r>
      <w:r w:rsidR="00366A3F" w:rsidRPr="00D77403">
        <w:rPr>
          <w:szCs w:val="24"/>
        </w:rPr>
        <w:t xml:space="preserve"> stated </w:t>
      </w:r>
      <w:r w:rsidR="000C228A" w:rsidRPr="00D77403">
        <w:rPr>
          <w:szCs w:val="24"/>
        </w:rPr>
        <w:t xml:space="preserve">it to be an essential element of a </w:t>
      </w:r>
      <w:r w:rsidR="001A2E32" w:rsidRPr="00D77403">
        <w:rPr>
          <w:szCs w:val="24"/>
        </w:rPr>
        <w:t xml:space="preserve">deceit </w:t>
      </w:r>
      <w:r w:rsidR="000C228A" w:rsidRPr="00D77403">
        <w:rPr>
          <w:szCs w:val="24"/>
        </w:rPr>
        <w:t xml:space="preserve">claim that the defendant understood that the representation was being made.  He rejected the notion </w:t>
      </w:r>
      <w:r w:rsidR="00366A3F" w:rsidRPr="00D77403">
        <w:rPr>
          <w:szCs w:val="24"/>
        </w:rPr>
        <w:t xml:space="preserve">that it </w:t>
      </w:r>
      <w:r w:rsidR="000C228A" w:rsidRPr="00D77403">
        <w:rPr>
          <w:szCs w:val="24"/>
        </w:rPr>
        <w:t>is</w:t>
      </w:r>
      <w:r w:rsidR="00366A3F" w:rsidRPr="00D77403">
        <w:rPr>
          <w:szCs w:val="24"/>
        </w:rPr>
        <w:t xml:space="preserve"> </w:t>
      </w:r>
      <w:r w:rsidR="001A2E32" w:rsidRPr="00D77403">
        <w:rPr>
          <w:szCs w:val="24"/>
        </w:rPr>
        <w:t>enough</w:t>
      </w:r>
      <w:r w:rsidR="00366A3F" w:rsidRPr="00D77403">
        <w:rPr>
          <w:szCs w:val="24"/>
        </w:rPr>
        <w:t xml:space="preserve"> for a representee to establish that he would have acted differently if he had known the truth</w:t>
      </w:r>
      <w:r w:rsidR="000C228A" w:rsidRPr="00D77403">
        <w:rPr>
          <w:szCs w:val="24"/>
        </w:rPr>
        <w:t>, saying that</w:t>
      </w:r>
      <w:r w:rsidR="00366A3F" w:rsidRPr="00D77403">
        <w:rPr>
          <w:i/>
          <w:iCs/>
          <w:szCs w:val="24"/>
        </w:rPr>
        <w:t>“[i]f it were, a claimant who gave no thought to any representation, or did not understand it to have been made, might be entitled to recover”</w:t>
      </w:r>
      <w:r w:rsidR="00366A3F" w:rsidRPr="00D77403">
        <w:rPr>
          <w:szCs w:val="24"/>
        </w:rPr>
        <w:t xml:space="preserve"> (</w:t>
      </w:r>
      <w:r w:rsidR="00366A3F" w:rsidRPr="00D77403">
        <w:rPr>
          <w:i/>
          <w:iCs/>
          <w:szCs w:val="24"/>
        </w:rPr>
        <w:t xml:space="preserve">Raiffeisen </w:t>
      </w:r>
      <w:r w:rsidR="00366A3F" w:rsidRPr="00D77403">
        <w:rPr>
          <w:szCs w:val="24"/>
        </w:rPr>
        <w:t xml:space="preserve">§ 187).  </w:t>
      </w:r>
    </w:p>
    <w:p w14:paraId="2F4DE7A6" w14:textId="44653F39" w:rsidR="002F0909" w:rsidRPr="00D77403" w:rsidRDefault="00E27144" w:rsidP="00A151C9">
      <w:pPr>
        <w:pStyle w:val="level1"/>
        <w:rPr>
          <w:szCs w:val="24"/>
        </w:rPr>
      </w:pPr>
      <w:r w:rsidRPr="00D77403">
        <w:rPr>
          <w:szCs w:val="24"/>
        </w:rPr>
        <w:t xml:space="preserve">A Commercial Court decision the following year, </w:t>
      </w:r>
      <w:r w:rsidRPr="00D77403">
        <w:rPr>
          <w:i/>
          <w:iCs/>
          <w:szCs w:val="24"/>
        </w:rPr>
        <w:t xml:space="preserve">Cassa di Risparmio della Repubblica di San Marino v Barclays Bank </w:t>
      </w:r>
      <w:r w:rsidRPr="00D77403">
        <w:rPr>
          <w:szCs w:val="24"/>
        </w:rPr>
        <w:t xml:space="preserve">[2011] EWCA Civ 484 (Comm), included </w:t>
      </w:r>
      <w:r w:rsidR="008A694A" w:rsidRPr="00D77403">
        <w:rPr>
          <w:szCs w:val="24"/>
        </w:rPr>
        <w:t>somewhat similar reasoning.</w:t>
      </w:r>
      <w:r w:rsidR="001A2E32" w:rsidRPr="00D77403">
        <w:rPr>
          <w:rStyle w:val="FootnoteReference"/>
          <w:szCs w:val="24"/>
        </w:rPr>
        <w:footnoteReference w:id="2"/>
      </w:r>
      <w:r w:rsidR="008A694A" w:rsidRPr="00D77403">
        <w:rPr>
          <w:szCs w:val="24"/>
        </w:rPr>
        <w:t xml:space="preserve">  That case concerned an investment by a provincial bank from San Marino in complex derivatives transactions.  </w:t>
      </w:r>
      <w:r w:rsidR="00DD5F92" w:rsidRPr="00D77403">
        <w:rPr>
          <w:szCs w:val="24"/>
        </w:rPr>
        <w:t xml:space="preserve">They were the kind of derivatives </w:t>
      </w:r>
      <w:r w:rsidR="00A151C9" w:rsidRPr="00D77403">
        <w:rPr>
          <w:szCs w:val="24"/>
        </w:rPr>
        <w:t xml:space="preserve">Warren Buffet </w:t>
      </w:r>
      <w:r w:rsidR="00DD5F92" w:rsidRPr="00D77403">
        <w:rPr>
          <w:szCs w:val="24"/>
        </w:rPr>
        <w:t xml:space="preserve">no doubt had in mind when he </w:t>
      </w:r>
      <w:r w:rsidR="00A666AA" w:rsidRPr="00D77403">
        <w:rPr>
          <w:szCs w:val="24"/>
        </w:rPr>
        <w:t xml:space="preserve">referred to </w:t>
      </w:r>
      <w:r w:rsidR="00A151C9" w:rsidRPr="00D77403">
        <w:rPr>
          <w:i/>
          <w:iCs/>
          <w:szCs w:val="24"/>
        </w:rPr>
        <w:t>“financial weapons of mass destruction, carrying dangers that, while now latent, are potentially lethal</w:t>
      </w:r>
      <w:r w:rsidR="00A151C9" w:rsidRPr="00D77403">
        <w:rPr>
          <w:szCs w:val="24"/>
        </w:rPr>
        <w:t xml:space="preserve">”.  </w:t>
      </w:r>
      <w:r w:rsidR="003F5E0C" w:rsidRPr="00D77403">
        <w:rPr>
          <w:szCs w:val="24"/>
        </w:rPr>
        <w:t xml:space="preserve">The </w:t>
      </w:r>
      <w:r w:rsidR="00A666AA" w:rsidRPr="00D77403">
        <w:rPr>
          <w:szCs w:val="24"/>
        </w:rPr>
        <w:t xml:space="preserve">products here were so-called </w:t>
      </w:r>
      <w:r w:rsidR="002A454B" w:rsidRPr="00D77403">
        <w:rPr>
          <w:szCs w:val="24"/>
        </w:rPr>
        <w:t xml:space="preserve">‘CDO </w:t>
      </w:r>
      <w:r w:rsidR="0062524A" w:rsidRPr="00D77403">
        <w:rPr>
          <w:szCs w:val="24"/>
        </w:rPr>
        <w:t xml:space="preserve">squared’ notes.  </w:t>
      </w:r>
      <w:r w:rsidR="00D94328" w:rsidRPr="00D77403">
        <w:rPr>
          <w:szCs w:val="24"/>
        </w:rPr>
        <w:t>A CDO is a collateri</w:t>
      </w:r>
      <w:r w:rsidR="0008215E" w:rsidRPr="00D77403">
        <w:rPr>
          <w:szCs w:val="24"/>
        </w:rPr>
        <w:t>s</w:t>
      </w:r>
      <w:r w:rsidR="00D94328" w:rsidRPr="00D77403">
        <w:rPr>
          <w:szCs w:val="24"/>
        </w:rPr>
        <w:t xml:space="preserve">ed </w:t>
      </w:r>
      <w:r w:rsidR="0008215E" w:rsidRPr="00D77403">
        <w:rPr>
          <w:szCs w:val="24"/>
        </w:rPr>
        <w:t>debt</w:t>
      </w:r>
      <w:r w:rsidR="00D94328" w:rsidRPr="00D77403">
        <w:rPr>
          <w:szCs w:val="24"/>
        </w:rPr>
        <w:t xml:space="preserve"> obligation.  </w:t>
      </w:r>
      <w:r w:rsidR="00A70A0F" w:rsidRPr="00D77403">
        <w:rPr>
          <w:szCs w:val="24"/>
        </w:rPr>
        <w:t>It is a security issued by a company</w:t>
      </w:r>
      <w:r w:rsidR="003C01B7" w:rsidRPr="00D77403">
        <w:rPr>
          <w:szCs w:val="24"/>
        </w:rPr>
        <w:t xml:space="preserve"> which</w:t>
      </w:r>
      <w:r w:rsidR="00B2323B" w:rsidRPr="00D77403">
        <w:rPr>
          <w:szCs w:val="24"/>
        </w:rPr>
        <w:t xml:space="preserve"> owns</w:t>
      </w:r>
      <w:r w:rsidR="003C01B7" w:rsidRPr="00D77403">
        <w:rPr>
          <w:szCs w:val="24"/>
        </w:rPr>
        <w:t>,</w:t>
      </w:r>
      <w:r w:rsidR="00B2323B" w:rsidRPr="00D77403">
        <w:rPr>
          <w:szCs w:val="24"/>
        </w:rPr>
        <w:t xml:space="preserve"> </w:t>
      </w:r>
      <w:r w:rsidR="00E63A98" w:rsidRPr="00D77403">
        <w:rPr>
          <w:szCs w:val="24"/>
        </w:rPr>
        <w:t>or has financial exposure to</w:t>
      </w:r>
      <w:r w:rsidR="003C01B7" w:rsidRPr="00D77403">
        <w:rPr>
          <w:szCs w:val="24"/>
        </w:rPr>
        <w:t>,</w:t>
      </w:r>
      <w:r w:rsidR="00E63A98" w:rsidRPr="00D77403">
        <w:rPr>
          <w:szCs w:val="24"/>
        </w:rPr>
        <w:t xml:space="preserve"> </w:t>
      </w:r>
      <w:r w:rsidR="00B2323B" w:rsidRPr="00D77403">
        <w:rPr>
          <w:szCs w:val="24"/>
        </w:rPr>
        <w:t xml:space="preserve">a portfolio of financial instruments, usually loans or bonds, </w:t>
      </w:r>
      <w:r w:rsidR="00E63A98" w:rsidRPr="00D77403">
        <w:rPr>
          <w:szCs w:val="24"/>
        </w:rPr>
        <w:t>called the reference portfolio.  The</w:t>
      </w:r>
      <w:r w:rsidR="00F55FB5" w:rsidRPr="00D77403">
        <w:rPr>
          <w:szCs w:val="24"/>
        </w:rPr>
        <w:t xml:space="preserve"> company</w:t>
      </w:r>
      <w:r w:rsidR="00E63A98" w:rsidRPr="00D77403">
        <w:rPr>
          <w:szCs w:val="24"/>
        </w:rPr>
        <w:t xml:space="preserve"> obtains protection from </w:t>
      </w:r>
      <w:r w:rsidR="00C50E6F" w:rsidRPr="00D77403">
        <w:rPr>
          <w:szCs w:val="24"/>
        </w:rPr>
        <w:t xml:space="preserve">the risk of defaults in that portfolio by issuing </w:t>
      </w:r>
      <w:r w:rsidR="00C50E6F" w:rsidRPr="00D77403">
        <w:rPr>
          <w:szCs w:val="24"/>
        </w:rPr>
        <w:lastRenderedPageBreak/>
        <w:t xml:space="preserve">CDOs whose payout depends on the level of such defaults. </w:t>
      </w:r>
      <w:r w:rsidR="00AE73D4" w:rsidRPr="00D77403">
        <w:rPr>
          <w:szCs w:val="24"/>
        </w:rPr>
        <w:t xml:space="preserve"> </w:t>
      </w:r>
      <w:r w:rsidR="00F830E3" w:rsidRPr="00D77403">
        <w:rPr>
          <w:szCs w:val="24"/>
        </w:rPr>
        <w:t xml:space="preserve">In </w:t>
      </w:r>
      <w:r w:rsidR="00F830E3" w:rsidRPr="00D77403">
        <w:rPr>
          <w:i/>
          <w:iCs/>
          <w:szCs w:val="24"/>
        </w:rPr>
        <w:t>CRSM</w:t>
      </w:r>
      <w:r w:rsidR="00F830E3" w:rsidRPr="00D77403">
        <w:rPr>
          <w:szCs w:val="24"/>
        </w:rPr>
        <w:t xml:space="preserve">, the </w:t>
      </w:r>
      <w:r w:rsidR="00714C39" w:rsidRPr="00D77403">
        <w:rPr>
          <w:szCs w:val="24"/>
        </w:rPr>
        <w:t xml:space="preserve">assets in the </w:t>
      </w:r>
      <w:r w:rsidR="00F830E3" w:rsidRPr="00D77403">
        <w:rPr>
          <w:szCs w:val="24"/>
        </w:rPr>
        <w:t xml:space="preserve">reference portfolio </w:t>
      </w:r>
      <w:r w:rsidR="00714C39" w:rsidRPr="00D77403">
        <w:rPr>
          <w:szCs w:val="24"/>
        </w:rPr>
        <w:t>were themselves</w:t>
      </w:r>
      <w:r w:rsidR="00F830E3" w:rsidRPr="00D77403">
        <w:rPr>
          <w:szCs w:val="24"/>
        </w:rPr>
        <w:t xml:space="preserve"> CDOs, </w:t>
      </w:r>
      <w:r w:rsidR="00714C39" w:rsidRPr="00D77403">
        <w:rPr>
          <w:szCs w:val="24"/>
        </w:rPr>
        <w:t xml:space="preserve">each linked to its own reference portfolio, </w:t>
      </w:r>
      <w:r w:rsidR="00FE0EB7" w:rsidRPr="00D77403">
        <w:rPr>
          <w:szCs w:val="24"/>
        </w:rPr>
        <w:t xml:space="preserve">hence the ‘squared’ description.  </w:t>
      </w:r>
      <w:r w:rsidR="005A1156" w:rsidRPr="00D77403">
        <w:rPr>
          <w:szCs w:val="24"/>
        </w:rPr>
        <w:t xml:space="preserve"> </w:t>
      </w:r>
      <w:r w:rsidR="00A0300A" w:rsidRPr="00D77403">
        <w:rPr>
          <w:szCs w:val="24"/>
        </w:rPr>
        <w:t xml:space="preserve">It is hard </w:t>
      </w:r>
      <w:r w:rsidR="00A666AA" w:rsidRPr="00D77403">
        <w:rPr>
          <w:szCs w:val="24"/>
        </w:rPr>
        <w:t xml:space="preserve">enough </w:t>
      </w:r>
      <w:r w:rsidR="00A0300A" w:rsidRPr="00D77403">
        <w:rPr>
          <w:szCs w:val="24"/>
        </w:rPr>
        <w:t>to understand the operation of a</w:t>
      </w:r>
      <w:r w:rsidR="00F70C50" w:rsidRPr="00D77403">
        <w:rPr>
          <w:szCs w:val="24"/>
        </w:rPr>
        <w:t xml:space="preserve"> CDO squared, and even harder to value </w:t>
      </w:r>
      <w:r w:rsidR="00A0300A" w:rsidRPr="00D77403">
        <w:rPr>
          <w:szCs w:val="24"/>
        </w:rPr>
        <w:t xml:space="preserve">it </w:t>
      </w:r>
      <w:r w:rsidR="00F70C50" w:rsidRPr="00D77403">
        <w:rPr>
          <w:szCs w:val="24"/>
        </w:rPr>
        <w:t>or assess its risk</w:t>
      </w:r>
      <w:r w:rsidR="00A0300A" w:rsidRPr="00D77403">
        <w:rPr>
          <w:szCs w:val="24"/>
        </w:rPr>
        <w:t>s.</w:t>
      </w:r>
    </w:p>
    <w:p w14:paraId="22B11528" w14:textId="77777777" w:rsidR="00F04D83" w:rsidRPr="00D77403" w:rsidRDefault="005A1156" w:rsidP="00306F6C">
      <w:pPr>
        <w:pStyle w:val="level1"/>
        <w:rPr>
          <w:szCs w:val="24"/>
        </w:rPr>
      </w:pPr>
      <w:r w:rsidRPr="00D77403">
        <w:rPr>
          <w:szCs w:val="24"/>
        </w:rPr>
        <w:t xml:space="preserve">CRSM's case was that Barclays sold the Notes on the basis of </w:t>
      </w:r>
      <w:r w:rsidR="00FB5C51" w:rsidRPr="00D77403">
        <w:rPr>
          <w:szCs w:val="24"/>
        </w:rPr>
        <w:t>their</w:t>
      </w:r>
      <w:r w:rsidRPr="00D77403">
        <w:rPr>
          <w:szCs w:val="24"/>
        </w:rPr>
        <w:t xml:space="preserve"> AAA </w:t>
      </w:r>
      <w:r w:rsidR="00FB5C51" w:rsidRPr="00D77403">
        <w:rPr>
          <w:szCs w:val="24"/>
        </w:rPr>
        <w:t xml:space="preserve">credit </w:t>
      </w:r>
      <w:r w:rsidRPr="00D77403">
        <w:rPr>
          <w:szCs w:val="24"/>
        </w:rPr>
        <w:t xml:space="preserve">rating, indicating a minimal level of risk, when Barclays knew and intended that the </w:t>
      </w:r>
      <w:r w:rsidR="00804553" w:rsidRPr="00D77403">
        <w:rPr>
          <w:szCs w:val="24"/>
        </w:rPr>
        <w:t>Notes were</w:t>
      </w:r>
      <w:r w:rsidRPr="00D77403">
        <w:rPr>
          <w:szCs w:val="24"/>
        </w:rPr>
        <w:t xml:space="preserve"> far riskier than their credit rating indicated.  Whereas a AAA rating signified a default risk over 5 year</w:t>
      </w:r>
      <w:r w:rsidR="00DA0732" w:rsidRPr="00D77403">
        <w:rPr>
          <w:szCs w:val="24"/>
        </w:rPr>
        <w:t>s</w:t>
      </w:r>
      <w:r w:rsidRPr="00D77403">
        <w:rPr>
          <w:szCs w:val="24"/>
        </w:rPr>
        <w:t xml:space="preserve"> close to zero, Barclays' internal </w:t>
      </w:r>
      <w:r w:rsidR="00804553" w:rsidRPr="00D77403">
        <w:rPr>
          <w:szCs w:val="24"/>
        </w:rPr>
        <w:t>‘e</w:t>
      </w:r>
      <w:r w:rsidRPr="00D77403">
        <w:rPr>
          <w:szCs w:val="24"/>
        </w:rPr>
        <w:t xml:space="preserve">xpected </w:t>
      </w:r>
      <w:r w:rsidR="00804553" w:rsidRPr="00D77403">
        <w:rPr>
          <w:szCs w:val="24"/>
        </w:rPr>
        <w:t>l</w:t>
      </w:r>
      <w:r w:rsidRPr="00D77403">
        <w:rPr>
          <w:szCs w:val="24"/>
        </w:rPr>
        <w:t>oss</w:t>
      </w:r>
      <w:r w:rsidR="00804553" w:rsidRPr="00D77403">
        <w:rPr>
          <w:szCs w:val="24"/>
        </w:rPr>
        <w:t>’</w:t>
      </w:r>
      <w:r w:rsidRPr="00D77403">
        <w:rPr>
          <w:szCs w:val="24"/>
        </w:rPr>
        <w:t xml:space="preserve"> financial modelling indicated that</w:t>
      </w:r>
      <w:r w:rsidR="00DA0732" w:rsidRPr="00D77403">
        <w:rPr>
          <w:szCs w:val="24"/>
        </w:rPr>
        <w:t>,</w:t>
      </w:r>
      <w:r w:rsidRPr="00D77403">
        <w:rPr>
          <w:szCs w:val="24"/>
        </w:rPr>
        <w:t xml:space="preserve"> at their dates of issue</w:t>
      </w:r>
      <w:r w:rsidR="00DA0732" w:rsidRPr="00D77403">
        <w:rPr>
          <w:szCs w:val="24"/>
        </w:rPr>
        <w:t>,</w:t>
      </w:r>
      <w:r w:rsidRPr="00D77403">
        <w:rPr>
          <w:szCs w:val="24"/>
        </w:rPr>
        <w:t xml:space="preserve"> the CDO</w:t>
      </w:r>
      <w:r w:rsidRPr="00D77403">
        <w:rPr>
          <w:szCs w:val="24"/>
          <w:vertAlign w:val="superscript"/>
        </w:rPr>
        <w:t>2</w:t>
      </w:r>
      <w:r w:rsidRPr="00D77403">
        <w:rPr>
          <w:szCs w:val="24"/>
        </w:rPr>
        <w:t>s had a probability of default over their lives of around 30% (equivalent to single ‘B’ or ‘junk’).</w:t>
      </w:r>
      <w:r w:rsidR="005615E3" w:rsidRPr="00D77403">
        <w:rPr>
          <w:szCs w:val="24"/>
        </w:rPr>
        <w:t xml:space="preserve">  That was said be the </w:t>
      </w:r>
      <w:r w:rsidR="00AC1EB4" w:rsidRPr="00D77403">
        <w:rPr>
          <w:szCs w:val="24"/>
        </w:rPr>
        <w:t>case</w:t>
      </w:r>
      <w:r w:rsidR="005615E3" w:rsidRPr="00D77403">
        <w:rPr>
          <w:szCs w:val="24"/>
        </w:rPr>
        <w:t xml:space="preserve"> because </w:t>
      </w:r>
      <w:r w:rsidR="00613AF7" w:rsidRPr="00D77403">
        <w:rPr>
          <w:szCs w:val="24"/>
        </w:rPr>
        <w:t xml:space="preserve">there had been ‘adverse selection’ of reference assets, with the bank choosing </w:t>
      </w:r>
      <w:r w:rsidR="008B7171" w:rsidRPr="00D77403">
        <w:rPr>
          <w:szCs w:val="24"/>
        </w:rPr>
        <w:t xml:space="preserve">(for its own benefit) </w:t>
      </w:r>
      <w:r w:rsidR="00613AF7" w:rsidRPr="00D77403">
        <w:rPr>
          <w:szCs w:val="24"/>
        </w:rPr>
        <w:t xml:space="preserve">assets </w:t>
      </w:r>
      <w:r w:rsidR="008B7171" w:rsidRPr="00D77403">
        <w:rPr>
          <w:szCs w:val="24"/>
        </w:rPr>
        <w:t>skewed towards the highest risk end, as measured by their respective credit spreads, of their credit rating bands</w:t>
      </w:r>
      <w:r w:rsidR="001625F8" w:rsidRPr="00D77403">
        <w:rPr>
          <w:szCs w:val="24"/>
        </w:rPr>
        <w:t xml:space="preserve">: a </w:t>
      </w:r>
      <w:r w:rsidR="00455025" w:rsidRPr="00D77403">
        <w:rPr>
          <w:szCs w:val="24"/>
        </w:rPr>
        <w:t>technique sometimes called ‘credit ratings arbitrage’</w:t>
      </w:r>
      <w:r w:rsidR="008B7171" w:rsidRPr="00D77403">
        <w:rPr>
          <w:szCs w:val="24"/>
        </w:rPr>
        <w:t xml:space="preserve">.  </w:t>
      </w:r>
    </w:p>
    <w:p w14:paraId="7074BCFF" w14:textId="541E69F5" w:rsidR="00B0790B" w:rsidRPr="00D77403" w:rsidRDefault="00BF268A" w:rsidP="00C8626B">
      <w:pPr>
        <w:pStyle w:val="level1"/>
        <w:rPr>
          <w:szCs w:val="24"/>
        </w:rPr>
      </w:pPr>
      <w:r w:rsidRPr="00D77403">
        <w:rPr>
          <w:szCs w:val="24"/>
        </w:rPr>
        <w:t xml:space="preserve">CRSM said </w:t>
      </w:r>
      <w:r w:rsidR="00B938A5" w:rsidRPr="00D77403">
        <w:rPr>
          <w:szCs w:val="24"/>
        </w:rPr>
        <w:t xml:space="preserve">this arbitrage involved </w:t>
      </w:r>
      <w:r w:rsidR="00306F6C" w:rsidRPr="00D77403">
        <w:rPr>
          <w:szCs w:val="24"/>
        </w:rPr>
        <w:t>taking advantage of two aspects of the method by which the rating agencies modelled the probability of default of the CDO2s</w:t>
      </w:r>
      <w:r w:rsidR="00F04D83" w:rsidRPr="00D77403">
        <w:rPr>
          <w:szCs w:val="24"/>
        </w:rPr>
        <w:t xml:space="preserve">.  </w:t>
      </w:r>
      <w:r w:rsidR="00306F6C" w:rsidRPr="00D77403">
        <w:rPr>
          <w:szCs w:val="24"/>
        </w:rPr>
        <w:t>First, in estimating the probabilities of default of the CDO reference entities, the rating agencies used historical data rather than credit spreads</w:t>
      </w:r>
      <w:r w:rsidR="00E851C5" w:rsidRPr="00D77403">
        <w:rPr>
          <w:szCs w:val="24"/>
        </w:rPr>
        <w:t xml:space="preserve">, which </w:t>
      </w:r>
      <w:r w:rsidR="008308F9" w:rsidRPr="00D77403">
        <w:rPr>
          <w:szCs w:val="24"/>
        </w:rPr>
        <w:t xml:space="preserve">CRSM argued </w:t>
      </w:r>
      <w:r w:rsidR="00E851C5" w:rsidRPr="00D77403">
        <w:rPr>
          <w:szCs w:val="24"/>
        </w:rPr>
        <w:t xml:space="preserve">are the market’s estimation of default risks.  Secondly, </w:t>
      </w:r>
      <w:r w:rsidR="00306F6C" w:rsidRPr="00D77403">
        <w:rPr>
          <w:szCs w:val="24"/>
        </w:rPr>
        <w:t xml:space="preserve">the rating agencies measure the probability of default of each individual reference entity </w:t>
      </w:r>
      <w:r w:rsidR="008308F9" w:rsidRPr="00D77403">
        <w:rPr>
          <w:szCs w:val="24"/>
        </w:rPr>
        <w:t xml:space="preserve">using </w:t>
      </w:r>
      <w:r w:rsidR="00306F6C" w:rsidRPr="00D77403">
        <w:rPr>
          <w:szCs w:val="24"/>
        </w:rPr>
        <w:t xml:space="preserve">statistics </w:t>
      </w:r>
      <w:r w:rsidR="00CD2220" w:rsidRPr="00D77403">
        <w:rPr>
          <w:szCs w:val="24"/>
        </w:rPr>
        <w:t xml:space="preserve">for all entities of the same credit rating: despite the fact that </w:t>
      </w:r>
      <w:r w:rsidR="00C8626B" w:rsidRPr="00D77403">
        <w:rPr>
          <w:szCs w:val="24"/>
        </w:rPr>
        <w:t xml:space="preserve">within any one rating band – e.g. AAA or BBB – there can be entities </w:t>
      </w:r>
      <w:r w:rsidR="00306F6C" w:rsidRPr="00D77403">
        <w:rPr>
          <w:szCs w:val="24"/>
        </w:rPr>
        <w:t>with widely different probabilities of default as reflected in their credit spreads</w:t>
      </w:r>
      <w:r w:rsidR="00C8626B" w:rsidRPr="00D77403">
        <w:rPr>
          <w:szCs w:val="24"/>
        </w:rPr>
        <w:t xml:space="preserve">.  </w:t>
      </w:r>
      <w:r w:rsidR="008308F9" w:rsidRPr="00D77403">
        <w:rPr>
          <w:szCs w:val="24"/>
        </w:rPr>
        <w:t>So</w:t>
      </w:r>
      <w:r w:rsidR="00DF0177" w:rsidRPr="00D77403">
        <w:rPr>
          <w:szCs w:val="24"/>
        </w:rPr>
        <w:t xml:space="preserve"> Barclays </w:t>
      </w:r>
      <w:r w:rsidR="00B0790B" w:rsidRPr="00D77403">
        <w:rPr>
          <w:szCs w:val="24"/>
        </w:rPr>
        <w:t xml:space="preserve">was able to populate the reference portfolios with </w:t>
      </w:r>
      <w:r w:rsidR="00553043" w:rsidRPr="00D77403">
        <w:rPr>
          <w:szCs w:val="24"/>
        </w:rPr>
        <w:t>higher spread</w:t>
      </w:r>
      <w:r w:rsidR="00B0790B" w:rsidRPr="00D77403">
        <w:rPr>
          <w:szCs w:val="24"/>
        </w:rPr>
        <w:t xml:space="preserve"> assets</w:t>
      </w:r>
      <w:r w:rsidR="00D448FB" w:rsidRPr="00D77403">
        <w:rPr>
          <w:szCs w:val="24"/>
        </w:rPr>
        <w:t xml:space="preserve"> (and make profits by doing do)</w:t>
      </w:r>
      <w:r w:rsidR="00B0790B" w:rsidRPr="00D77403">
        <w:rPr>
          <w:szCs w:val="24"/>
        </w:rPr>
        <w:t>, without affecting the rating agency’s AAA rating of the CDO squared.</w:t>
      </w:r>
    </w:p>
    <w:p w14:paraId="6CA25AF9" w14:textId="3AF7413D" w:rsidR="005A1F53" w:rsidRPr="00D77403" w:rsidRDefault="009B3B2C" w:rsidP="00EF2600">
      <w:pPr>
        <w:pStyle w:val="level1"/>
        <w:rPr>
          <w:szCs w:val="24"/>
        </w:rPr>
      </w:pPr>
      <w:r w:rsidRPr="00D77403">
        <w:rPr>
          <w:szCs w:val="24"/>
        </w:rPr>
        <w:t xml:space="preserve">The judge, Hamblen J, did not accept CRSM’s case on the nature of the investments.  He accepted Barclays’ evidence about the </w:t>
      </w:r>
      <w:r w:rsidR="006133FA" w:rsidRPr="00D77403">
        <w:rPr>
          <w:szCs w:val="24"/>
        </w:rPr>
        <w:t xml:space="preserve">so-called ‘credit spread puzzle’, namely that </w:t>
      </w:r>
      <w:r w:rsidR="0003240C" w:rsidRPr="00D77403">
        <w:rPr>
          <w:szCs w:val="24"/>
        </w:rPr>
        <w:t xml:space="preserve">actual </w:t>
      </w:r>
      <w:r w:rsidR="00D448FB" w:rsidRPr="00D77403">
        <w:rPr>
          <w:szCs w:val="24"/>
        </w:rPr>
        <w:t xml:space="preserve">real-life </w:t>
      </w:r>
      <w:r w:rsidR="0003240C" w:rsidRPr="00D77403">
        <w:rPr>
          <w:szCs w:val="24"/>
        </w:rPr>
        <w:t xml:space="preserve">default rates are significantly lower than credit spreads </w:t>
      </w:r>
      <w:r w:rsidR="00E803E3" w:rsidRPr="00D77403">
        <w:rPr>
          <w:szCs w:val="24"/>
        </w:rPr>
        <w:t>would</w:t>
      </w:r>
      <w:r w:rsidR="0003240C" w:rsidRPr="00D77403">
        <w:rPr>
          <w:szCs w:val="24"/>
        </w:rPr>
        <w:t xml:space="preserve"> imply</w:t>
      </w:r>
      <w:r w:rsidR="005E1749" w:rsidRPr="00D77403">
        <w:rPr>
          <w:szCs w:val="24"/>
        </w:rPr>
        <w:t xml:space="preserve">.  </w:t>
      </w:r>
      <w:r w:rsidR="0076074B" w:rsidRPr="00D77403">
        <w:rPr>
          <w:szCs w:val="24"/>
        </w:rPr>
        <w:t xml:space="preserve">It followed from this, the judge thought, </w:t>
      </w:r>
      <w:r w:rsidR="00F948F2" w:rsidRPr="00D77403">
        <w:rPr>
          <w:szCs w:val="24"/>
        </w:rPr>
        <w:t xml:space="preserve">that </w:t>
      </w:r>
      <w:r w:rsidR="00EF2600" w:rsidRPr="00D77403">
        <w:rPr>
          <w:szCs w:val="24"/>
        </w:rPr>
        <w:t>“</w:t>
      </w:r>
      <w:r w:rsidR="00EF2600" w:rsidRPr="00D77403">
        <w:rPr>
          <w:i/>
          <w:iCs/>
          <w:szCs w:val="24"/>
        </w:rPr>
        <w:t xml:space="preserve">the </w:t>
      </w:r>
      <w:r w:rsidR="00EF2600" w:rsidRPr="00D77403">
        <w:rPr>
          <w:i/>
          <w:iCs/>
          <w:szCs w:val="24"/>
        </w:rPr>
        <w:lastRenderedPageBreak/>
        <w:t>fact that the reference portfolios were largely populated by names paying higher-than-average spreads (for their ratings) similarly did not mean that the real world chances of default were different to those indicated by the ratings</w:t>
      </w:r>
      <w:r w:rsidR="00D176D3" w:rsidRPr="00D77403">
        <w:rPr>
          <w:szCs w:val="24"/>
        </w:rPr>
        <w:t>” (§ 307(2))</w:t>
      </w:r>
      <w:r w:rsidR="00EF2600" w:rsidRPr="00D77403">
        <w:rPr>
          <w:szCs w:val="24"/>
        </w:rPr>
        <w:t>.</w:t>
      </w:r>
      <w:r w:rsidR="00D176D3" w:rsidRPr="00D77403">
        <w:rPr>
          <w:szCs w:val="24"/>
        </w:rPr>
        <w:t xml:space="preserve">  </w:t>
      </w:r>
      <w:r w:rsidR="00FE586A" w:rsidRPr="00D77403">
        <w:rPr>
          <w:szCs w:val="24"/>
        </w:rPr>
        <w:t xml:space="preserve">Whether that </w:t>
      </w:r>
      <w:r w:rsidR="00F10881" w:rsidRPr="00D77403">
        <w:rPr>
          <w:szCs w:val="24"/>
        </w:rPr>
        <w:t xml:space="preserve">did </w:t>
      </w:r>
      <w:r w:rsidR="00FE586A" w:rsidRPr="00D77403">
        <w:rPr>
          <w:szCs w:val="24"/>
        </w:rPr>
        <w:t>follow, and whether it meant that t</w:t>
      </w:r>
      <w:r w:rsidR="00CF6C7D" w:rsidRPr="00D77403">
        <w:rPr>
          <w:szCs w:val="24"/>
        </w:rPr>
        <w:t xml:space="preserve">he Notes were not more risky than their credit ratings implied, might be debated.  However, my </w:t>
      </w:r>
      <w:r w:rsidR="00CD0B70" w:rsidRPr="00D77403">
        <w:rPr>
          <w:szCs w:val="24"/>
        </w:rPr>
        <w:t>subject</w:t>
      </w:r>
      <w:r w:rsidR="00CF6C7D" w:rsidRPr="00D77403">
        <w:rPr>
          <w:szCs w:val="24"/>
        </w:rPr>
        <w:t xml:space="preserve"> </w:t>
      </w:r>
      <w:r w:rsidR="00F10881" w:rsidRPr="00D77403">
        <w:rPr>
          <w:szCs w:val="24"/>
        </w:rPr>
        <w:t xml:space="preserve">today </w:t>
      </w:r>
      <w:r w:rsidR="00CF6C7D" w:rsidRPr="00D77403">
        <w:rPr>
          <w:szCs w:val="24"/>
        </w:rPr>
        <w:t xml:space="preserve">is </w:t>
      </w:r>
      <w:r w:rsidR="005A1F53" w:rsidRPr="00D77403">
        <w:rPr>
          <w:szCs w:val="24"/>
        </w:rPr>
        <w:t xml:space="preserve">the question of reliance on the alleged representations. </w:t>
      </w:r>
    </w:p>
    <w:p w14:paraId="07B08EFE" w14:textId="1699E265" w:rsidR="002734F1" w:rsidRPr="00D77403" w:rsidRDefault="005A1F53" w:rsidP="00EF2600">
      <w:pPr>
        <w:pStyle w:val="level1"/>
        <w:rPr>
          <w:szCs w:val="24"/>
        </w:rPr>
      </w:pPr>
      <w:r w:rsidRPr="00D77403">
        <w:rPr>
          <w:szCs w:val="24"/>
        </w:rPr>
        <w:t xml:space="preserve">It was literally true that the Notes were AAA rated.  CRSM therefore </w:t>
      </w:r>
      <w:r w:rsidR="006B00AD" w:rsidRPr="00D77403">
        <w:rPr>
          <w:szCs w:val="24"/>
        </w:rPr>
        <w:t>sought</w:t>
      </w:r>
      <w:r w:rsidRPr="00D77403">
        <w:rPr>
          <w:szCs w:val="24"/>
        </w:rPr>
        <w:t xml:space="preserve"> to show that Barclays represented </w:t>
      </w:r>
      <w:r w:rsidR="00E45C12" w:rsidRPr="00D77403">
        <w:rPr>
          <w:szCs w:val="24"/>
        </w:rPr>
        <w:t xml:space="preserve">not merely that that was the Notes’ credit rating, but that the </w:t>
      </w:r>
      <w:r w:rsidR="00A93404" w:rsidRPr="00D77403">
        <w:rPr>
          <w:szCs w:val="24"/>
        </w:rPr>
        <w:t xml:space="preserve">Notes’ </w:t>
      </w:r>
      <w:r w:rsidR="00E45C12" w:rsidRPr="00D77403">
        <w:rPr>
          <w:szCs w:val="24"/>
        </w:rPr>
        <w:t>risks were commensurate with such a rating</w:t>
      </w:r>
      <w:r w:rsidR="00A93404" w:rsidRPr="00D77403">
        <w:rPr>
          <w:szCs w:val="24"/>
        </w:rPr>
        <w:t>;</w:t>
      </w:r>
      <w:r w:rsidR="00CE1C9E" w:rsidRPr="00D77403">
        <w:rPr>
          <w:szCs w:val="24"/>
        </w:rPr>
        <w:t xml:space="preserve"> and that CRSM relied on that representation</w:t>
      </w:r>
      <w:r w:rsidR="00E45C12" w:rsidRPr="00D77403">
        <w:rPr>
          <w:szCs w:val="24"/>
        </w:rPr>
        <w:t xml:space="preserve">.  </w:t>
      </w:r>
      <w:r w:rsidR="00492498" w:rsidRPr="00D77403">
        <w:rPr>
          <w:szCs w:val="24"/>
        </w:rPr>
        <w:t xml:space="preserve">However, the evidence ultimately given at trial did not </w:t>
      </w:r>
      <w:r w:rsidR="006B00AD" w:rsidRPr="00D77403">
        <w:rPr>
          <w:szCs w:val="24"/>
        </w:rPr>
        <w:t xml:space="preserve">appear to </w:t>
      </w:r>
      <w:r w:rsidR="00CE1C9E" w:rsidRPr="00D77403">
        <w:rPr>
          <w:szCs w:val="24"/>
        </w:rPr>
        <w:t>support this.  The judge</w:t>
      </w:r>
      <w:r w:rsidR="002734F1" w:rsidRPr="00D77403">
        <w:rPr>
          <w:szCs w:val="24"/>
        </w:rPr>
        <w:t xml:space="preserve"> said:</w:t>
      </w:r>
    </w:p>
    <w:p w14:paraId="29312F6E" w14:textId="6E34322E" w:rsidR="002734F1" w:rsidRPr="00D77403" w:rsidRDefault="002734F1" w:rsidP="002734F1">
      <w:pPr>
        <w:pStyle w:val="quote0"/>
        <w:rPr>
          <w:szCs w:val="24"/>
        </w:rPr>
      </w:pPr>
      <w:r w:rsidRPr="00D77403">
        <w:rPr>
          <w:szCs w:val="24"/>
        </w:rPr>
        <w:t>“</w:t>
      </w:r>
      <w:r w:rsidR="00144911" w:rsidRPr="00D77403">
        <w:rPr>
          <w:szCs w:val="24"/>
        </w:rPr>
        <w:t>In cross examination Mr Montanari [of CRSM] confirmed that various points alleged to have been represented to him were simply matters of his own understanding, rather than matters actually stated to him by Mr Ferrario</w:t>
      </w:r>
      <w:r w:rsidR="00A93404" w:rsidRPr="00D77403">
        <w:rPr>
          <w:szCs w:val="24"/>
        </w:rPr>
        <w:t xml:space="preserve"> [of Barclays]</w:t>
      </w:r>
      <w:r w:rsidR="00144911" w:rsidRPr="00D77403">
        <w:rPr>
          <w:szCs w:val="24"/>
        </w:rPr>
        <w:t>. In particular, Mr Montanari stated that he understood that the AAA rating meant that there was a low risk of default, as far as he knew, and that this was not something that Mr Ferrario had ever told Mr Montanari; Mr Montanari said that Mr Ferrario “</w:t>
      </w:r>
      <w:r w:rsidR="00144911" w:rsidRPr="00D77403">
        <w:rPr>
          <w:i/>
          <w:iCs/>
          <w:szCs w:val="24"/>
        </w:rPr>
        <w:t>only said there were some AAA notes, and in my mind they had a minimal risk of default</w:t>
      </w:r>
      <w:r w:rsidR="00144911" w:rsidRPr="00D77403">
        <w:rPr>
          <w:szCs w:val="24"/>
        </w:rPr>
        <w:t xml:space="preserve">”; in re-examination, he was asked whether, when he had meetings with Mr Ferrario at which the </w:t>
      </w:r>
      <w:r w:rsidR="00E803E3" w:rsidRPr="00D77403">
        <w:rPr>
          <w:szCs w:val="24"/>
        </w:rPr>
        <w:t>[CDO</w:t>
      </w:r>
      <w:r w:rsidR="00E803E3" w:rsidRPr="00D77403">
        <w:rPr>
          <w:szCs w:val="24"/>
          <w:vertAlign w:val="superscript"/>
        </w:rPr>
        <w:t>2</w:t>
      </w:r>
      <w:r w:rsidR="00E803E3" w:rsidRPr="00D77403">
        <w:rPr>
          <w:szCs w:val="24"/>
        </w:rPr>
        <w:t>]</w:t>
      </w:r>
      <w:r w:rsidR="00144911" w:rsidRPr="00D77403">
        <w:rPr>
          <w:szCs w:val="24"/>
        </w:rPr>
        <w:t xml:space="preserve"> notes were discussed, Mr Ferrario had said anything to him about the credit risk or risk of default of the </w:t>
      </w:r>
      <w:r w:rsidR="00E803E3" w:rsidRPr="00D77403">
        <w:rPr>
          <w:szCs w:val="24"/>
        </w:rPr>
        <w:t>[CDO</w:t>
      </w:r>
      <w:r w:rsidR="00E803E3" w:rsidRPr="00D77403">
        <w:rPr>
          <w:szCs w:val="24"/>
          <w:vertAlign w:val="superscript"/>
        </w:rPr>
        <w:t>2</w:t>
      </w:r>
      <w:r w:rsidR="00E803E3" w:rsidRPr="00D77403">
        <w:rPr>
          <w:szCs w:val="24"/>
        </w:rPr>
        <w:t xml:space="preserve">] </w:t>
      </w:r>
      <w:r w:rsidR="00144911" w:rsidRPr="00D77403">
        <w:rPr>
          <w:szCs w:val="24"/>
        </w:rPr>
        <w:t>notes and his answer was “</w:t>
      </w:r>
      <w:r w:rsidR="00144911" w:rsidRPr="00D77403">
        <w:rPr>
          <w:i/>
          <w:iCs/>
          <w:szCs w:val="24"/>
        </w:rPr>
        <w:t>No, we never discussed it because AAA to us was synonymous of that tranquill</w:t>
      </w:r>
      <w:r w:rsidR="00A93404" w:rsidRPr="00D77403">
        <w:rPr>
          <w:i/>
          <w:iCs/>
          <w:szCs w:val="24"/>
        </w:rPr>
        <w:t>o</w:t>
      </w:r>
      <w:r w:rsidR="00144911" w:rsidRPr="00D77403">
        <w:rPr>
          <w:i/>
          <w:iCs/>
          <w:szCs w:val="24"/>
        </w:rPr>
        <w:t>, safe and transparent that we were looking for.”</w:t>
      </w:r>
      <w:r w:rsidRPr="00D77403">
        <w:rPr>
          <w:szCs w:val="24"/>
        </w:rPr>
        <w:t>” (§ 67</w:t>
      </w:r>
      <w:r w:rsidR="00F36252" w:rsidRPr="00D77403">
        <w:rPr>
          <w:szCs w:val="24"/>
        </w:rPr>
        <w:t>; see also § 476(2) to similar effect</w:t>
      </w:r>
      <w:r w:rsidRPr="00D77403">
        <w:rPr>
          <w:szCs w:val="24"/>
        </w:rPr>
        <w:t>)</w:t>
      </w:r>
    </w:p>
    <w:p w14:paraId="3EFEE744" w14:textId="72997340" w:rsidR="008B3EFF" w:rsidRPr="00D77403" w:rsidRDefault="00121504" w:rsidP="005A1156">
      <w:pPr>
        <w:pStyle w:val="level1"/>
        <w:rPr>
          <w:szCs w:val="24"/>
        </w:rPr>
      </w:pPr>
      <w:r w:rsidRPr="00D77403">
        <w:rPr>
          <w:szCs w:val="24"/>
        </w:rPr>
        <w:t xml:space="preserve">Thus </w:t>
      </w:r>
      <w:r w:rsidR="00B027A1" w:rsidRPr="00D77403">
        <w:rPr>
          <w:szCs w:val="24"/>
        </w:rPr>
        <w:t xml:space="preserve">CRSM had </w:t>
      </w:r>
      <w:r w:rsidR="00B027A1" w:rsidRPr="00D77403">
        <w:rPr>
          <w:szCs w:val="24"/>
          <w:u w:val="single"/>
        </w:rPr>
        <w:t>assumed</w:t>
      </w:r>
      <w:r w:rsidR="00B027A1" w:rsidRPr="00D77403">
        <w:rPr>
          <w:szCs w:val="24"/>
        </w:rPr>
        <w:t xml:space="preserve"> that the </w:t>
      </w:r>
      <w:r w:rsidRPr="00D77403">
        <w:rPr>
          <w:szCs w:val="24"/>
        </w:rPr>
        <w:t xml:space="preserve">AAA </w:t>
      </w:r>
      <w:r w:rsidR="00B027A1" w:rsidRPr="00D77403">
        <w:rPr>
          <w:szCs w:val="24"/>
        </w:rPr>
        <w:t xml:space="preserve">rating indicated </w:t>
      </w:r>
      <w:r w:rsidR="00317E14" w:rsidRPr="00D77403">
        <w:rPr>
          <w:szCs w:val="24"/>
        </w:rPr>
        <w:t xml:space="preserve">that </w:t>
      </w:r>
      <w:r w:rsidR="00B027A1" w:rsidRPr="00D77403">
        <w:rPr>
          <w:szCs w:val="24"/>
        </w:rPr>
        <w:t xml:space="preserve">the Notes carried a low risk of default.  </w:t>
      </w:r>
      <w:r w:rsidRPr="00D77403">
        <w:rPr>
          <w:szCs w:val="24"/>
        </w:rPr>
        <w:t>Further, h</w:t>
      </w:r>
      <w:r w:rsidR="00B027A1" w:rsidRPr="00D77403">
        <w:rPr>
          <w:szCs w:val="24"/>
        </w:rPr>
        <w:t xml:space="preserve">ad CRSM known the </w:t>
      </w:r>
      <w:r w:rsidRPr="00D77403">
        <w:rPr>
          <w:szCs w:val="24"/>
        </w:rPr>
        <w:t>true position</w:t>
      </w:r>
      <w:r w:rsidR="00B027A1" w:rsidRPr="00D77403">
        <w:rPr>
          <w:szCs w:val="24"/>
        </w:rPr>
        <w:t xml:space="preserve">, then no doubt </w:t>
      </w:r>
      <w:r w:rsidR="008F34BA" w:rsidRPr="00D77403">
        <w:rPr>
          <w:szCs w:val="24"/>
        </w:rPr>
        <w:t>it</w:t>
      </w:r>
      <w:r w:rsidR="00B027A1" w:rsidRPr="00D77403">
        <w:rPr>
          <w:szCs w:val="24"/>
        </w:rPr>
        <w:t xml:space="preserve"> would not have bought the Notes.  However, on the judge’s findings</w:t>
      </w:r>
      <w:r w:rsidR="003D68DF" w:rsidRPr="00D77403">
        <w:rPr>
          <w:szCs w:val="24"/>
        </w:rPr>
        <w:t>,</w:t>
      </w:r>
      <w:r w:rsidR="00B027A1" w:rsidRPr="00D77403">
        <w:rPr>
          <w:szCs w:val="24"/>
        </w:rPr>
        <w:t xml:space="preserve"> Barclays </w:t>
      </w:r>
      <w:r w:rsidR="00490FF7" w:rsidRPr="00D77403">
        <w:rPr>
          <w:szCs w:val="24"/>
        </w:rPr>
        <w:t>had not gone beyond a statement of the rating and</w:t>
      </w:r>
      <w:r w:rsidR="003D68DF" w:rsidRPr="00D77403">
        <w:rPr>
          <w:szCs w:val="24"/>
        </w:rPr>
        <w:t xml:space="preserve"> </w:t>
      </w:r>
      <w:r w:rsidR="00490FF7" w:rsidRPr="00D77403">
        <w:rPr>
          <w:szCs w:val="24"/>
        </w:rPr>
        <w:t>CRSM had not un</w:t>
      </w:r>
      <w:r w:rsidR="005A09D8" w:rsidRPr="00D77403">
        <w:rPr>
          <w:szCs w:val="24"/>
        </w:rPr>
        <w:t>derstood Barclays to have gone beyond that bare statement of fact</w:t>
      </w:r>
      <w:r w:rsidR="003D74C3" w:rsidRPr="00D77403">
        <w:rPr>
          <w:szCs w:val="24"/>
        </w:rPr>
        <w:t>.</w:t>
      </w:r>
      <w:r w:rsidR="003D68DF" w:rsidRPr="00D77403">
        <w:rPr>
          <w:szCs w:val="24"/>
        </w:rPr>
        <w:t xml:space="preserve">  I shall return later to this case.</w:t>
      </w:r>
    </w:p>
    <w:p w14:paraId="57F1C865" w14:textId="03E758FD" w:rsidR="0020600A" w:rsidRPr="00D77403" w:rsidRDefault="00387C8E" w:rsidP="00D71763">
      <w:pPr>
        <w:pStyle w:val="level1"/>
        <w:rPr>
          <w:szCs w:val="24"/>
        </w:rPr>
      </w:pPr>
      <w:r w:rsidRPr="00D77403">
        <w:rPr>
          <w:szCs w:val="24"/>
        </w:rPr>
        <w:t xml:space="preserve">Essentially </w:t>
      </w:r>
      <w:r w:rsidR="00EF24B5" w:rsidRPr="00D77403">
        <w:rPr>
          <w:szCs w:val="24"/>
        </w:rPr>
        <w:t>the</w:t>
      </w:r>
      <w:r w:rsidRPr="00D77403">
        <w:rPr>
          <w:szCs w:val="24"/>
        </w:rPr>
        <w:t xml:space="preserve"> same </w:t>
      </w:r>
      <w:r w:rsidR="00EF24B5" w:rsidRPr="00D77403">
        <w:rPr>
          <w:szCs w:val="24"/>
        </w:rPr>
        <w:t>point continued to recur</w:t>
      </w:r>
      <w:r w:rsidR="00CB03F4" w:rsidRPr="00D77403">
        <w:rPr>
          <w:szCs w:val="24"/>
        </w:rPr>
        <w:t xml:space="preserve">.  </w:t>
      </w:r>
      <w:r w:rsidR="00B34541" w:rsidRPr="00D77403">
        <w:rPr>
          <w:i/>
          <w:iCs/>
          <w:szCs w:val="24"/>
        </w:rPr>
        <w:t>Property Alliance Group Ltd v Royal Bank of Scotland</w:t>
      </w:r>
      <w:r w:rsidR="00B34541" w:rsidRPr="00D77403">
        <w:rPr>
          <w:szCs w:val="24"/>
        </w:rPr>
        <w:t xml:space="preserve"> [2018] 1 WLR 3529</w:t>
      </w:r>
      <w:r w:rsidR="00E05EE3" w:rsidRPr="00D77403">
        <w:rPr>
          <w:i/>
          <w:iCs/>
          <w:szCs w:val="24"/>
        </w:rPr>
        <w:t xml:space="preserve"> </w:t>
      </w:r>
      <w:r w:rsidR="00E05EE3" w:rsidRPr="00D77403">
        <w:rPr>
          <w:szCs w:val="24"/>
        </w:rPr>
        <w:t xml:space="preserve">arose from the </w:t>
      </w:r>
      <w:r w:rsidR="00A24641" w:rsidRPr="00D77403">
        <w:rPr>
          <w:szCs w:val="24"/>
        </w:rPr>
        <w:t xml:space="preserve">interest rate manipulation scandal.  </w:t>
      </w:r>
      <w:r w:rsidR="00BC1A29" w:rsidRPr="00D77403">
        <w:rPr>
          <w:szCs w:val="24"/>
        </w:rPr>
        <w:t>T</w:t>
      </w:r>
      <w:r w:rsidR="00D71763" w:rsidRPr="00D77403">
        <w:rPr>
          <w:szCs w:val="24"/>
        </w:rPr>
        <w:t xml:space="preserve">he claimant, PAG, entered into loan facility agreements with RBS. </w:t>
      </w:r>
      <w:r w:rsidR="008F34BA" w:rsidRPr="00D77403">
        <w:rPr>
          <w:szCs w:val="24"/>
        </w:rPr>
        <w:t xml:space="preserve"> </w:t>
      </w:r>
      <w:r w:rsidR="00D71763" w:rsidRPr="00D77403">
        <w:rPr>
          <w:szCs w:val="24"/>
        </w:rPr>
        <w:t>The</w:t>
      </w:r>
      <w:r w:rsidR="005F2A9B" w:rsidRPr="00D77403">
        <w:rPr>
          <w:szCs w:val="24"/>
        </w:rPr>
        <w:t>se</w:t>
      </w:r>
      <w:r w:rsidR="00D71763" w:rsidRPr="00D77403">
        <w:rPr>
          <w:szCs w:val="24"/>
        </w:rPr>
        <w:t xml:space="preserve"> required </w:t>
      </w:r>
      <w:r w:rsidR="00BC1A29" w:rsidRPr="00D77403">
        <w:rPr>
          <w:szCs w:val="24"/>
        </w:rPr>
        <w:t>PAG</w:t>
      </w:r>
      <w:r w:rsidR="00D71763" w:rsidRPr="00D77403">
        <w:rPr>
          <w:szCs w:val="24"/>
        </w:rPr>
        <w:t xml:space="preserve"> to enter into four interest rate swap</w:t>
      </w:r>
      <w:r w:rsidR="00312D6E" w:rsidRPr="00D77403">
        <w:rPr>
          <w:szCs w:val="24"/>
        </w:rPr>
        <w:t xml:space="preserve">s </w:t>
      </w:r>
      <w:r w:rsidR="00D71763" w:rsidRPr="00D77403">
        <w:rPr>
          <w:szCs w:val="24"/>
        </w:rPr>
        <w:t xml:space="preserve">with RBS </w:t>
      </w:r>
      <w:r w:rsidR="00D71763" w:rsidRPr="00D77403">
        <w:rPr>
          <w:szCs w:val="24"/>
        </w:rPr>
        <w:lastRenderedPageBreak/>
        <w:t xml:space="preserve">referenced to </w:t>
      </w:r>
      <w:r w:rsidR="003133F1" w:rsidRPr="00D77403">
        <w:rPr>
          <w:szCs w:val="24"/>
        </w:rPr>
        <w:t xml:space="preserve">sterling </w:t>
      </w:r>
      <w:r w:rsidR="00D71763" w:rsidRPr="00D77403">
        <w:rPr>
          <w:szCs w:val="24"/>
        </w:rPr>
        <w:t xml:space="preserve">LIBOR. </w:t>
      </w:r>
      <w:r w:rsidR="00BC1A29" w:rsidRPr="00D77403">
        <w:rPr>
          <w:szCs w:val="24"/>
        </w:rPr>
        <w:t xml:space="preserve"> </w:t>
      </w:r>
      <w:r w:rsidR="00D71763" w:rsidRPr="00D77403">
        <w:rPr>
          <w:szCs w:val="24"/>
        </w:rPr>
        <w:t xml:space="preserve">Following the global financial crisis, LIBOR fell significantly </w:t>
      </w:r>
      <w:r w:rsidR="00BC1A29" w:rsidRPr="00D77403">
        <w:rPr>
          <w:szCs w:val="24"/>
        </w:rPr>
        <w:t>and PAG became</w:t>
      </w:r>
      <w:r w:rsidR="00D71763" w:rsidRPr="00D77403">
        <w:rPr>
          <w:szCs w:val="24"/>
        </w:rPr>
        <w:t xml:space="preserve"> liable to pay</w:t>
      </w:r>
      <w:r w:rsidR="00BC1A29" w:rsidRPr="00D77403">
        <w:rPr>
          <w:szCs w:val="24"/>
        </w:rPr>
        <w:t xml:space="preserve"> interest</w:t>
      </w:r>
      <w:r w:rsidR="00D71763" w:rsidRPr="00D77403">
        <w:rPr>
          <w:szCs w:val="24"/>
        </w:rPr>
        <w:t xml:space="preserve"> rates under the swaps </w:t>
      </w:r>
      <w:r w:rsidR="00BC1A29" w:rsidRPr="00D77403">
        <w:rPr>
          <w:szCs w:val="24"/>
        </w:rPr>
        <w:t>far greater than</w:t>
      </w:r>
      <w:r w:rsidR="00D71763" w:rsidRPr="00D77403">
        <w:rPr>
          <w:szCs w:val="24"/>
        </w:rPr>
        <w:t xml:space="preserve"> they received. </w:t>
      </w:r>
      <w:r w:rsidR="00BC1A29" w:rsidRPr="00D77403">
        <w:rPr>
          <w:szCs w:val="24"/>
        </w:rPr>
        <w:t xml:space="preserve"> </w:t>
      </w:r>
      <w:r w:rsidR="00D71763" w:rsidRPr="00D77403">
        <w:rPr>
          <w:szCs w:val="24"/>
        </w:rPr>
        <w:t xml:space="preserve">The Financial Services Authority </w:t>
      </w:r>
      <w:r w:rsidR="00A601C7" w:rsidRPr="00D77403">
        <w:rPr>
          <w:szCs w:val="24"/>
        </w:rPr>
        <w:t>later</w:t>
      </w:r>
      <w:r w:rsidR="00D71763" w:rsidRPr="00D77403">
        <w:rPr>
          <w:szCs w:val="24"/>
        </w:rPr>
        <w:t xml:space="preserve"> found that RBS had manipulated Japanese yen and Swiss franc LIBOR.</w:t>
      </w:r>
      <w:r w:rsidR="007C2D5F" w:rsidRPr="00D77403">
        <w:rPr>
          <w:szCs w:val="24"/>
        </w:rPr>
        <w:t xml:space="preserve"> </w:t>
      </w:r>
      <w:r w:rsidR="00D71763" w:rsidRPr="00D77403">
        <w:rPr>
          <w:szCs w:val="24"/>
        </w:rPr>
        <w:t xml:space="preserve"> PAG </w:t>
      </w:r>
      <w:r w:rsidR="0045285B" w:rsidRPr="00D77403">
        <w:rPr>
          <w:szCs w:val="24"/>
        </w:rPr>
        <w:t>sued the bank</w:t>
      </w:r>
      <w:r w:rsidR="00D71763" w:rsidRPr="00D77403">
        <w:rPr>
          <w:szCs w:val="24"/>
        </w:rPr>
        <w:t xml:space="preserve"> </w:t>
      </w:r>
      <w:r w:rsidR="0045285B" w:rsidRPr="00D77403">
        <w:rPr>
          <w:szCs w:val="24"/>
        </w:rPr>
        <w:t xml:space="preserve">for </w:t>
      </w:r>
      <w:r w:rsidR="0020600A" w:rsidRPr="00D77403">
        <w:rPr>
          <w:szCs w:val="24"/>
        </w:rPr>
        <w:t>misrepresentation</w:t>
      </w:r>
      <w:r w:rsidR="0045285B" w:rsidRPr="00D77403">
        <w:rPr>
          <w:szCs w:val="24"/>
        </w:rPr>
        <w:t xml:space="preserve"> among other things</w:t>
      </w:r>
      <w:r w:rsidR="0020600A" w:rsidRPr="00D77403">
        <w:rPr>
          <w:szCs w:val="24"/>
        </w:rPr>
        <w:t xml:space="preserve">.  </w:t>
      </w:r>
      <w:r w:rsidR="00680398" w:rsidRPr="00D77403">
        <w:rPr>
          <w:szCs w:val="24"/>
        </w:rPr>
        <w:t>Asplin J found that none of the five alleged implied representations had been made</w:t>
      </w:r>
      <w:r w:rsidR="00E5085B" w:rsidRPr="00D77403">
        <w:rPr>
          <w:szCs w:val="24"/>
        </w:rPr>
        <w:t>, nor in any event relied on</w:t>
      </w:r>
      <w:r w:rsidR="004530FD" w:rsidRPr="00D77403">
        <w:rPr>
          <w:szCs w:val="24"/>
        </w:rPr>
        <w:t>.  A</w:t>
      </w:r>
      <w:r w:rsidR="00E5085B" w:rsidRPr="00D77403">
        <w:rPr>
          <w:szCs w:val="24"/>
        </w:rPr>
        <w:t>s to reliance, she said:</w:t>
      </w:r>
    </w:p>
    <w:p w14:paraId="0C795BEA" w14:textId="0806656E" w:rsidR="00E5085B" w:rsidRPr="00D77403" w:rsidRDefault="00E5085B" w:rsidP="00E5085B">
      <w:pPr>
        <w:pStyle w:val="quote0"/>
        <w:rPr>
          <w:szCs w:val="24"/>
        </w:rPr>
      </w:pPr>
      <w:r w:rsidRPr="00D77403">
        <w:rPr>
          <w:szCs w:val="24"/>
        </w:rPr>
        <w:t>“</w:t>
      </w:r>
      <w:r w:rsidR="00B338D7" w:rsidRPr="00D77403">
        <w:rPr>
          <w:szCs w:val="24"/>
        </w:rPr>
        <w:t xml:space="preserve">PAG did not rely on the alleged 'extremely complex and intricate' representations because they did not know about the BBA </w:t>
      </w:r>
      <w:r w:rsidR="007C2D5F" w:rsidRPr="00D77403">
        <w:rPr>
          <w:szCs w:val="24"/>
        </w:rPr>
        <w:t>[British Bankers</w:t>
      </w:r>
      <w:r w:rsidR="00936DC5" w:rsidRPr="00D77403">
        <w:rPr>
          <w:szCs w:val="24"/>
        </w:rPr>
        <w:t>’</w:t>
      </w:r>
      <w:r w:rsidR="007C2D5F" w:rsidRPr="00D77403">
        <w:rPr>
          <w:szCs w:val="24"/>
        </w:rPr>
        <w:t xml:space="preserve"> Association] </w:t>
      </w:r>
      <w:r w:rsidR="00B338D7" w:rsidRPr="00D77403">
        <w:rPr>
          <w:szCs w:val="24"/>
        </w:rPr>
        <w:t>definition, how submissions were made or even that RBS was a panel bank, let alone that LIBOR was capable of manipulation; it was not enough that they assumed (although they did so assume) that LIBOR would be set in a straightforward and proper manner ….</w:t>
      </w:r>
      <w:r w:rsidRPr="00D77403">
        <w:rPr>
          <w:szCs w:val="24"/>
        </w:rPr>
        <w:t>”</w:t>
      </w:r>
      <w:r w:rsidR="00B338D7" w:rsidRPr="00D77403">
        <w:rPr>
          <w:szCs w:val="24"/>
        </w:rPr>
        <w:t xml:space="preserve"> (§ 130(5))</w:t>
      </w:r>
    </w:p>
    <w:p w14:paraId="52826BE9" w14:textId="7C2EDE87" w:rsidR="003F0F69" w:rsidRPr="00D77403" w:rsidRDefault="003F0F69" w:rsidP="003F0F69">
      <w:pPr>
        <w:pStyle w:val="level1"/>
        <w:numPr>
          <w:ilvl w:val="0"/>
          <w:numId w:val="0"/>
        </w:numPr>
        <w:ind w:left="720"/>
        <w:rPr>
          <w:szCs w:val="24"/>
        </w:rPr>
      </w:pPr>
      <w:r w:rsidRPr="00D77403">
        <w:rPr>
          <w:szCs w:val="24"/>
        </w:rPr>
        <w:t>and:-</w:t>
      </w:r>
    </w:p>
    <w:p w14:paraId="676F4939" w14:textId="5ECD1AFA" w:rsidR="003F0F69" w:rsidRPr="00D77403" w:rsidRDefault="003F0F69" w:rsidP="00E5085B">
      <w:pPr>
        <w:pStyle w:val="quote0"/>
        <w:rPr>
          <w:szCs w:val="24"/>
        </w:rPr>
      </w:pPr>
      <w:r w:rsidRPr="00D77403">
        <w:rPr>
          <w:szCs w:val="24"/>
        </w:rPr>
        <w:t>“</w:t>
      </w:r>
      <w:r w:rsidR="00D81BDC" w:rsidRPr="00D77403">
        <w:rPr>
          <w:szCs w:val="24"/>
        </w:rPr>
        <w:t xml:space="preserve">It seems to me therefore, that there was no understanding of what are extremely complex and intricate pleaded representations meant and for the most part, the matters which were pleaded did not cross </w:t>
      </w:r>
      <w:r w:rsidR="00142AE0" w:rsidRPr="00D77403">
        <w:rPr>
          <w:szCs w:val="24"/>
        </w:rPr>
        <w:t xml:space="preserve">[the PAG representatives] </w:t>
      </w:r>
      <w:r w:rsidR="00D81BDC" w:rsidRPr="00D77403">
        <w:rPr>
          <w:szCs w:val="24"/>
        </w:rPr>
        <w:t>Mr Russell and Mr Wyse's minds. On that basis, in my judgment, they could not have understood the implied representations to have been made and therefore, did not rely upon them. In the circumstances, it is not necessary to consider whether it is appropriate to ask what they would have done if told the alleged truth as against if nothing had been said. ... At best, it seems to me that both Mr Russell and Mr Wyse assumed that LIBOR, which they understood to be a commercial rate of interest, would be set in a straightforward and proper manner. In my judgment, therefore, they gave no thought to the LIBOR Representations in the form pleaded and did not rely upon them.</w:t>
      </w:r>
      <w:r w:rsidRPr="00D77403">
        <w:rPr>
          <w:szCs w:val="24"/>
        </w:rPr>
        <w:t xml:space="preserve">” (§ 419) </w:t>
      </w:r>
    </w:p>
    <w:p w14:paraId="49284F55" w14:textId="06F0645C" w:rsidR="003438BB" w:rsidRPr="00D77403" w:rsidRDefault="000C7A19" w:rsidP="003438BB">
      <w:pPr>
        <w:pStyle w:val="level1"/>
        <w:numPr>
          <w:ilvl w:val="0"/>
          <w:numId w:val="0"/>
        </w:numPr>
        <w:ind w:left="720"/>
        <w:rPr>
          <w:szCs w:val="24"/>
        </w:rPr>
      </w:pPr>
      <w:r w:rsidRPr="00D77403">
        <w:rPr>
          <w:szCs w:val="24"/>
        </w:rPr>
        <w:t>So</w:t>
      </w:r>
      <w:r w:rsidR="00711019" w:rsidRPr="00D77403">
        <w:rPr>
          <w:szCs w:val="24"/>
        </w:rPr>
        <w:t xml:space="preserve"> Asplin J expressly differentiated between </w:t>
      </w:r>
      <w:r w:rsidR="00F21E49" w:rsidRPr="00D77403">
        <w:rPr>
          <w:szCs w:val="24"/>
        </w:rPr>
        <w:t>(</w:t>
      </w:r>
      <w:r w:rsidR="00936DC5" w:rsidRPr="00D77403">
        <w:rPr>
          <w:szCs w:val="24"/>
        </w:rPr>
        <w:t>i</w:t>
      </w:r>
      <w:r w:rsidR="00F21E49" w:rsidRPr="00D77403">
        <w:rPr>
          <w:szCs w:val="24"/>
        </w:rPr>
        <w:t xml:space="preserve">) </w:t>
      </w:r>
      <w:r w:rsidR="00711019" w:rsidRPr="00D77403">
        <w:rPr>
          <w:szCs w:val="24"/>
        </w:rPr>
        <w:t xml:space="preserve">reliance </w:t>
      </w:r>
      <w:r w:rsidR="00F21E49" w:rsidRPr="00D77403">
        <w:rPr>
          <w:szCs w:val="24"/>
        </w:rPr>
        <w:t>and (</w:t>
      </w:r>
      <w:r w:rsidR="00936DC5" w:rsidRPr="00D77403">
        <w:rPr>
          <w:szCs w:val="24"/>
        </w:rPr>
        <w:t>ii</w:t>
      </w:r>
      <w:r w:rsidR="00F21E49" w:rsidRPr="00D77403">
        <w:rPr>
          <w:szCs w:val="24"/>
        </w:rPr>
        <w:t>)</w:t>
      </w:r>
      <w:r w:rsidR="00711019" w:rsidRPr="00D77403">
        <w:rPr>
          <w:szCs w:val="24"/>
        </w:rPr>
        <w:t xml:space="preserve"> the </w:t>
      </w:r>
      <w:r w:rsidR="00F21E49" w:rsidRPr="00D77403">
        <w:rPr>
          <w:szCs w:val="24"/>
        </w:rPr>
        <w:t xml:space="preserve">question of whether </w:t>
      </w:r>
      <w:r w:rsidR="00E77017" w:rsidRPr="00D77403">
        <w:rPr>
          <w:szCs w:val="24"/>
        </w:rPr>
        <w:t>PAG</w:t>
      </w:r>
      <w:r w:rsidR="00F21E49" w:rsidRPr="00D77403">
        <w:rPr>
          <w:szCs w:val="24"/>
        </w:rPr>
        <w:t xml:space="preserve"> would have acted differently</w:t>
      </w:r>
      <w:r w:rsidR="00505DBC" w:rsidRPr="00D77403">
        <w:rPr>
          <w:szCs w:val="24"/>
        </w:rPr>
        <w:t xml:space="preserve"> had it known the truth</w:t>
      </w:r>
      <w:r w:rsidR="007A56C4" w:rsidRPr="00D77403">
        <w:rPr>
          <w:szCs w:val="24"/>
        </w:rPr>
        <w:t xml:space="preserve">: referred to in later cases as </w:t>
      </w:r>
      <w:r w:rsidR="00172B61" w:rsidRPr="00D77403">
        <w:rPr>
          <w:szCs w:val="24"/>
        </w:rPr>
        <w:t>the ‘counterfactual of truth’.</w:t>
      </w:r>
    </w:p>
    <w:p w14:paraId="51EF5759" w14:textId="57DCA5A9" w:rsidR="00D71763" w:rsidRPr="00D77403" w:rsidRDefault="004A5898" w:rsidP="008F2953">
      <w:pPr>
        <w:pStyle w:val="level1"/>
        <w:rPr>
          <w:szCs w:val="24"/>
        </w:rPr>
      </w:pPr>
      <w:r w:rsidRPr="00D77403">
        <w:rPr>
          <w:szCs w:val="24"/>
        </w:rPr>
        <w:t>The Court of Appeal</w:t>
      </w:r>
      <w:r w:rsidR="00C2589F" w:rsidRPr="00D77403">
        <w:rPr>
          <w:szCs w:val="24"/>
        </w:rPr>
        <w:t xml:space="preserve"> </w:t>
      </w:r>
      <w:r w:rsidRPr="00D77403">
        <w:rPr>
          <w:szCs w:val="24"/>
        </w:rPr>
        <w:t>found that a different representation could be implied</w:t>
      </w:r>
      <w:r w:rsidR="00EA6538" w:rsidRPr="00D77403">
        <w:rPr>
          <w:szCs w:val="24"/>
        </w:rPr>
        <w:t xml:space="preserve">, to the effect that RBS was not itself manipulating and did not intend to manipulate </w:t>
      </w:r>
      <w:r w:rsidR="006850A0" w:rsidRPr="00D77403">
        <w:rPr>
          <w:szCs w:val="24"/>
        </w:rPr>
        <w:t xml:space="preserve">sterling </w:t>
      </w:r>
      <w:r w:rsidR="00EA6538" w:rsidRPr="00D77403">
        <w:rPr>
          <w:szCs w:val="24"/>
        </w:rPr>
        <w:t xml:space="preserve">LIBOR.  </w:t>
      </w:r>
      <w:r w:rsidR="001A2BA6" w:rsidRPr="00D77403">
        <w:rPr>
          <w:szCs w:val="24"/>
        </w:rPr>
        <w:t xml:space="preserve">However, it upheld the judge’s finding that any such </w:t>
      </w:r>
      <w:r w:rsidR="001A2BA6" w:rsidRPr="00D77403">
        <w:rPr>
          <w:szCs w:val="24"/>
        </w:rPr>
        <w:lastRenderedPageBreak/>
        <w:t>representation was not false</w:t>
      </w:r>
      <w:r w:rsidR="000A184C" w:rsidRPr="00D77403">
        <w:rPr>
          <w:szCs w:val="24"/>
        </w:rPr>
        <w:t xml:space="preserve"> (§ 157) and therefore did not need to consider the judge’s finding </w:t>
      </w:r>
      <w:r w:rsidR="007A56C4" w:rsidRPr="00D77403">
        <w:rPr>
          <w:szCs w:val="24"/>
        </w:rPr>
        <w:t>about</w:t>
      </w:r>
      <w:r w:rsidR="000A184C" w:rsidRPr="00D77403">
        <w:rPr>
          <w:szCs w:val="24"/>
        </w:rPr>
        <w:t xml:space="preserve"> reliance (§ 159).</w:t>
      </w:r>
    </w:p>
    <w:p w14:paraId="52DD5DCD" w14:textId="2B5F29B3" w:rsidR="003D74C3" w:rsidRPr="00D77403" w:rsidRDefault="008F2953" w:rsidP="00261C2C">
      <w:pPr>
        <w:pStyle w:val="level1"/>
        <w:rPr>
          <w:szCs w:val="24"/>
        </w:rPr>
      </w:pPr>
      <w:r w:rsidRPr="00D77403">
        <w:rPr>
          <w:i/>
          <w:iCs/>
          <w:szCs w:val="24"/>
        </w:rPr>
        <w:t>Marme Inversiones 2007 v Natwest Markets plc</w:t>
      </w:r>
      <w:r w:rsidRPr="00D77403">
        <w:rPr>
          <w:szCs w:val="24"/>
        </w:rPr>
        <w:t xml:space="preserve"> [2019] EWHC 366 (Comm)</w:t>
      </w:r>
      <w:r w:rsidR="00842D9A" w:rsidRPr="00D77403">
        <w:rPr>
          <w:szCs w:val="24"/>
        </w:rPr>
        <w:t xml:space="preserve"> </w:t>
      </w:r>
      <w:r w:rsidR="00D13D0A" w:rsidRPr="00D77403">
        <w:rPr>
          <w:szCs w:val="24"/>
        </w:rPr>
        <w:t xml:space="preserve">also </w:t>
      </w:r>
      <w:r w:rsidR="00842D9A" w:rsidRPr="00D77403">
        <w:rPr>
          <w:szCs w:val="24"/>
        </w:rPr>
        <w:t xml:space="preserve">arose from interest rate </w:t>
      </w:r>
      <w:r w:rsidR="006850A0" w:rsidRPr="00D77403">
        <w:rPr>
          <w:szCs w:val="24"/>
        </w:rPr>
        <w:t>manipulation</w:t>
      </w:r>
      <w:r w:rsidR="00842D9A" w:rsidRPr="00D77403">
        <w:rPr>
          <w:szCs w:val="24"/>
        </w:rPr>
        <w:t>.  Marme</w:t>
      </w:r>
      <w:r w:rsidR="006A7712" w:rsidRPr="00D77403">
        <w:rPr>
          <w:szCs w:val="24"/>
        </w:rPr>
        <w:t xml:space="preserve"> </w:t>
      </w:r>
      <w:r w:rsidR="00714BFE" w:rsidRPr="00D77403">
        <w:rPr>
          <w:szCs w:val="24"/>
        </w:rPr>
        <w:t>took a syndicate</w:t>
      </w:r>
      <w:r w:rsidR="007A56C4" w:rsidRPr="00D77403">
        <w:rPr>
          <w:szCs w:val="24"/>
        </w:rPr>
        <w:t>d</w:t>
      </w:r>
      <w:r w:rsidR="00714BFE" w:rsidRPr="00D77403">
        <w:rPr>
          <w:szCs w:val="24"/>
        </w:rPr>
        <w:t xml:space="preserve"> loan with an interest rate based on EURIBOR</w:t>
      </w:r>
      <w:r w:rsidR="001D7FFE" w:rsidRPr="00D77403">
        <w:rPr>
          <w:szCs w:val="24"/>
        </w:rPr>
        <w:t xml:space="preserve">, and </w:t>
      </w:r>
      <w:r w:rsidR="00D75C5E" w:rsidRPr="00D77403">
        <w:rPr>
          <w:szCs w:val="24"/>
        </w:rPr>
        <w:t>interest rate swaps with one of the lenders, NatWest Markets.</w:t>
      </w:r>
      <w:r w:rsidR="0000768C" w:rsidRPr="00D77403">
        <w:rPr>
          <w:szCs w:val="24"/>
        </w:rPr>
        <w:t xml:space="preserve">  </w:t>
      </w:r>
      <w:r w:rsidR="00493337" w:rsidRPr="00D77403">
        <w:rPr>
          <w:szCs w:val="24"/>
        </w:rPr>
        <w:t xml:space="preserve">In due course, </w:t>
      </w:r>
      <w:r w:rsidR="00E423D8" w:rsidRPr="00D77403">
        <w:rPr>
          <w:szCs w:val="24"/>
        </w:rPr>
        <w:t xml:space="preserve">Marme was unable to </w:t>
      </w:r>
      <w:r w:rsidR="00493337" w:rsidRPr="00D77403">
        <w:rPr>
          <w:szCs w:val="24"/>
        </w:rPr>
        <w:t xml:space="preserve">repay the loans and </w:t>
      </w:r>
      <w:r w:rsidR="00E3456A" w:rsidRPr="00D77403">
        <w:rPr>
          <w:szCs w:val="24"/>
        </w:rPr>
        <w:t xml:space="preserve">entered an insolvency process.  The swaps were out of the money, and Marme </w:t>
      </w:r>
      <w:r w:rsidR="00261C2C" w:rsidRPr="00D77403">
        <w:rPr>
          <w:szCs w:val="24"/>
        </w:rPr>
        <w:t xml:space="preserve">sought to rescind them.  It </w:t>
      </w:r>
      <w:r w:rsidR="00E3456A" w:rsidRPr="00D77403">
        <w:rPr>
          <w:szCs w:val="24"/>
        </w:rPr>
        <w:t xml:space="preserve">alleged that RBS had </w:t>
      </w:r>
      <w:r w:rsidR="00261C2C" w:rsidRPr="00D77403">
        <w:rPr>
          <w:szCs w:val="24"/>
        </w:rPr>
        <w:t xml:space="preserve">impliedly </w:t>
      </w:r>
      <w:r w:rsidR="00F25129" w:rsidRPr="00D77403">
        <w:rPr>
          <w:szCs w:val="24"/>
        </w:rPr>
        <w:t xml:space="preserve">represented </w:t>
      </w:r>
      <w:r w:rsidR="00261C2C" w:rsidRPr="00D77403">
        <w:rPr>
          <w:szCs w:val="24"/>
        </w:rPr>
        <w:t xml:space="preserve">that it had not sought to manipulate EURIBOR </w:t>
      </w:r>
      <w:r w:rsidR="00F25129" w:rsidRPr="00D77403">
        <w:rPr>
          <w:szCs w:val="24"/>
        </w:rPr>
        <w:t xml:space="preserve">and </w:t>
      </w:r>
      <w:r w:rsidR="00261C2C" w:rsidRPr="00D77403">
        <w:rPr>
          <w:szCs w:val="24"/>
        </w:rPr>
        <w:t>had no reason to believe that other banks were seeking to do so.</w:t>
      </w:r>
      <w:r w:rsidR="00E3456A" w:rsidRPr="00D77403">
        <w:rPr>
          <w:szCs w:val="24"/>
        </w:rPr>
        <w:t xml:space="preserve"> </w:t>
      </w:r>
      <w:r w:rsidR="00D75C5E" w:rsidRPr="00D77403">
        <w:rPr>
          <w:szCs w:val="24"/>
        </w:rPr>
        <w:t xml:space="preserve">  </w:t>
      </w:r>
    </w:p>
    <w:p w14:paraId="5B35EE93" w14:textId="6DA008BE" w:rsidR="00DD1CC4" w:rsidRPr="00D77403" w:rsidRDefault="00380E2F" w:rsidP="000F4C32">
      <w:pPr>
        <w:pStyle w:val="level1"/>
        <w:rPr>
          <w:szCs w:val="24"/>
        </w:rPr>
      </w:pPr>
      <w:r w:rsidRPr="00D77403">
        <w:rPr>
          <w:szCs w:val="24"/>
        </w:rPr>
        <w:t xml:space="preserve">Picken J held that </w:t>
      </w:r>
      <w:r w:rsidR="008D1D2E" w:rsidRPr="00D77403">
        <w:rPr>
          <w:szCs w:val="24"/>
        </w:rPr>
        <w:t>the alleged implied representations were not made</w:t>
      </w:r>
      <w:r w:rsidR="007630AE" w:rsidRPr="00D77403">
        <w:rPr>
          <w:szCs w:val="24"/>
        </w:rPr>
        <w:t xml:space="preserve">; and, if made, were not relied on, </w:t>
      </w:r>
      <w:r w:rsidR="00690727" w:rsidRPr="00D77403">
        <w:rPr>
          <w:szCs w:val="24"/>
        </w:rPr>
        <w:t xml:space="preserve">largely because Marme was unaware of them.  </w:t>
      </w:r>
      <w:r w:rsidR="00E00589" w:rsidRPr="00D77403">
        <w:rPr>
          <w:szCs w:val="24"/>
        </w:rPr>
        <w:t xml:space="preserve">He cited </w:t>
      </w:r>
      <w:r w:rsidR="0070188A" w:rsidRPr="00D77403">
        <w:rPr>
          <w:szCs w:val="24"/>
        </w:rPr>
        <w:t xml:space="preserve">the Victorian </w:t>
      </w:r>
      <w:r w:rsidR="00E00589" w:rsidRPr="00D77403">
        <w:rPr>
          <w:szCs w:val="24"/>
        </w:rPr>
        <w:t xml:space="preserve">cases establishing that a claimant must show that he in fact understood the representation in the sense </w:t>
      </w:r>
      <w:r w:rsidR="0008579E" w:rsidRPr="00D77403">
        <w:rPr>
          <w:szCs w:val="24"/>
        </w:rPr>
        <w:t xml:space="preserve">alleged, and relied on it on that basis (§ 282 citing </w:t>
      </w:r>
      <w:r w:rsidR="000F4C32" w:rsidRPr="00D77403">
        <w:rPr>
          <w:i/>
          <w:iCs/>
          <w:szCs w:val="24"/>
        </w:rPr>
        <w:t>Arkwright v Newbold</w:t>
      </w:r>
      <w:r w:rsidR="000F4C32" w:rsidRPr="00D77403">
        <w:rPr>
          <w:szCs w:val="24"/>
        </w:rPr>
        <w:t xml:space="preserve"> (1881) 17 Ch D 301</w:t>
      </w:r>
      <w:r w:rsidR="00FC707E" w:rsidRPr="00D77403">
        <w:rPr>
          <w:szCs w:val="24"/>
        </w:rPr>
        <w:t xml:space="preserve"> and</w:t>
      </w:r>
      <w:r w:rsidR="000F4C32" w:rsidRPr="00D77403">
        <w:rPr>
          <w:szCs w:val="24"/>
        </w:rPr>
        <w:t xml:space="preserve"> </w:t>
      </w:r>
      <w:r w:rsidR="00ED39AA" w:rsidRPr="00D77403">
        <w:rPr>
          <w:i/>
          <w:iCs/>
          <w:szCs w:val="24"/>
        </w:rPr>
        <w:t>Smith v Chadwick</w:t>
      </w:r>
      <w:r w:rsidR="00ED39AA" w:rsidRPr="00D77403">
        <w:rPr>
          <w:szCs w:val="24"/>
        </w:rPr>
        <w:t xml:space="preserve"> (1884) 9 App.</w:t>
      </w:r>
      <w:r w:rsidR="0010285C" w:rsidRPr="00D77403">
        <w:rPr>
          <w:szCs w:val="24"/>
        </w:rPr>
        <w:t xml:space="preserve"> </w:t>
      </w:r>
      <w:r w:rsidR="00ED39AA" w:rsidRPr="00D77403">
        <w:rPr>
          <w:szCs w:val="24"/>
        </w:rPr>
        <w:t>Cas 187</w:t>
      </w:r>
      <w:r w:rsidR="000658A9" w:rsidRPr="00D77403">
        <w:rPr>
          <w:szCs w:val="24"/>
        </w:rPr>
        <w:t xml:space="preserve">).  He also cited Christopher Clarke J’s statement in </w:t>
      </w:r>
      <w:r w:rsidR="0010285C" w:rsidRPr="00D77403">
        <w:rPr>
          <w:i/>
          <w:iCs/>
          <w:szCs w:val="24"/>
        </w:rPr>
        <w:t>Raiffeisen Zentralbank Osterreich AG v RBS</w:t>
      </w:r>
      <w:r w:rsidR="0010285C" w:rsidRPr="00D77403">
        <w:rPr>
          <w:szCs w:val="24"/>
        </w:rPr>
        <w:t xml:space="preserve"> [2010] EWHC 1392 (Comm)</w:t>
      </w:r>
      <w:r w:rsidR="002C53C0" w:rsidRPr="00D77403">
        <w:rPr>
          <w:szCs w:val="24"/>
        </w:rPr>
        <w:t xml:space="preserve">, which I have already quoted, </w:t>
      </w:r>
      <w:r w:rsidR="00F828A3" w:rsidRPr="00D77403">
        <w:rPr>
          <w:szCs w:val="24"/>
        </w:rPr>
        <w:t xml:space="preserve">to the effect that a claimant ought not to be able to recover if it </w:t>
      </w:r>
      <w:r w:rsidR="00C63E4F" w:rsidRPr="00D77403">
        <w:rPr>
          <w:szCs w:val="24"/>
        </w:rPr>
        <w:t>gave no thought to any representation, or did not understand it to have been made</w:t>
      </w:r>
      <w:r w:rsidR="00F828A3" w:rsidRPr="00D77403">
        <w:rPr>
          <w:i/>
          <w:iCs/>
          <w:szCs w:val="24"/>
        </w:rPr>
        <w:t>.</w:t>
      </w:r>
      <w:r w:rsidR="00C1606D" w:rsidRPr="00D77403">
        <w:rPr>
          <w:szCs w:val="24"/>
        </w:rPr>
        <w:t xml:space="preserve">  </w:t>
      </w:r>
      <w:r w:rsidR="00322BC4" w:rsidRPr="00D77403">
        <w:rPr>
          <w:szCs w:val="24"/>
        </w:rPr>
        <w:t xml:space="preserve">Picken J </w:t>
      </w:r>
      <w:r w:rsidR="001F5035" w:rsidRPr="00D77403">
        <w:rPr>
          <w:szCs w:val="24"/>
        </w:rPr>
        <w:t>quoted</w:t>
      </w:r>
      <w:r w:rsidR="00322BC4" w:rsidRPr="00D77403">
        <w:rPr>
          <w:szCs w:val="24"/>
        </w:rPr>
        <w:t xml:space="preserve"> a passage from </w:t>
      </w:r>
      <w:r w:rsidR="00C1606D" w:rsidRPr="00D77403">
        <w:rPr>
          <w:szCs w:val="24"/>
        </w:rPr>
        <w:t xml:space="preserve"> </w:t>
      </w:r>
      <w:r w:rsidR="001F5035" w:rsidRPr="00D77403">
        <w:rPr>
          <w:szCs w:val="24"/>
        </w:rPr>
        <w:t xml:space="preserve">a non-financial instruments case, </w:t>
      </w:r>
      <w:r w:rsidR="00D37EC0" w:rsidRPr="00D77403">
        <w:rPr>
          <w:i/>
          <w:iCs/>
          <w:szCs w:val="24"/>
        </w:rPr>
        <w:t>Foster v Action Aviation Ltd</w:t>
      </w:r>
      <w:r w:rsidR="00D37EC0" w:rsidRPr="00D77403">
        <w:rPr>
          <w:szCs w:val="24"/>
        </w:rPr>
        <w:t xml:space="preserve"> [2013] EWHC 2439 (Comm)</w:t>
      </w:r>
      <w:r w:rsidR="001F5035" w:rsidRPr="00D77403">
        <w:rPr>
          <w:szCs w:val="24"/>
        </w:rPr>
        <w:t xml:space="preserve">, </w:t>
      </w:r>
      <w:r w:rsidR="00322BC4" w:rsidRPr="00D77403">
        <w:rPr>
          <w:szCs w:val="24"/>
        </w:rPr>
        <w:t xml:space="preserve">in which </w:t>
      </w:r>
      <w:r w:rsidR="00271697" w:rsidRPr="00D77403">
        <w:rPr>
          <w:szCs w:val="24"/>
        </w:rPr>
        <w:t xml:space="preserve">the ‘counterfactual of truth’ </w:t>
      </w:r>
      <w:r w:rsidR="003D0A77" w:rsidRPr="00D77403">
        <w:rPr>
          <w:szCs w:val="24"/>
        </w:rPr>
        <w:t xml:space="preserve">approach was again rejected as </w:t>
      </w:r>
      <w:r w:rsidR="009C6998" w:rsidRPr="00D77403">
        <w:rPr>
          <w:szCs w:val="24"/>
        </w:rPr>
        <w:t xml:space="preserve">a </w:t>
      </w:r>
      <w:r w:rsidR="003D0A77" w:rsidRPr="00D77403">
        <w:rPr>
          <w:szCs w:val="24"/>
        </w:rPr>
        <w:t>basis for showing reliance</w:t>
      </w:r>
      <w:r w:rsidR="00B56186" w:rsidRPr="00D77403">
        <w:rPr>
          <w:szCs w:val="24"/>
        </w:rPr>
        <w:t>.  Hamblen J there said:</w:t>
      </w:r>
    </w:p>
    <w:p w14:paraId="3CCC7468" w14:textId="20B92A81" w:rsidR="00B91ED0" w:rsidRPr="00D77403" w:rsidRDefault="00B91ED0" w:rsidP="00B91ED0">
      <w:pPr>
        <w:pStyle w:val="quote0"/>
        <w:rPr>
          <w:szCs w:val="24"/>
        </w:rPr>
      </w:pPr>
      <w:r w:rsidRPr="00D77403">
        <w:rPr>
          <w:szCs w:val="24"/>
        </w:rPr>
        <w:t>“</w:t>
      </w:r>
      <w:r w:rsidR="00F724CB" w:rsidRPr="00D77403">
        <w:rPr>
          <w:szCs w:val="24"/>
        </w:rPr>
        <w:t xml:space="preserve">… Unless one understands that a representation is being made it is difficult to see how it can be said to have been relied upon. </w:t>
      </w:r>
      <w:r w:rsidR="00F724CB" w:rsidRPr="00D77403">
        <w:rPr>
          <w:szCs w:val="24"/>
          <w:u w:val="single"/>
        </w:rPr>
        <w:t>Mr Foster's evidence was that had he known at the time that the factory had financial issues he would not have signed the contract. However, the case is one of positive representation, not non-disclosure.</w:t>
      </w:r>
      <w:r w:rsidR="00F724CB" w:rsidRPr="00D77403">
        <w:rPr>
          <w:szCs w:val="24"/>
        </w:rPr>
        <w:t xml:space="preserve"> He gives no evidence that he understood that the Defendants were representing to him or telling him that the factory had no financial issues, still less that they were making the more specific representations set out in the pleading. I am accordingly not satisfied that inducement has been sufficiently proved.</w:t>
      </w:r>
      <w:r w:rsidRPr="00D77403">
        <w:rPr>
          <w:szCs w:val="24"/>
        </w:rPr>
        <w:t>” (</w:t>
      </w:r>
      <w:r w:rsidRPr="00D77403">
        <w:rPr>
          <w:i/>
          <w:iCs/>
          <w:szCs w:val="24"/>
        </w:rPr>
        <w:t>Foster</w:t>
      </w:r>
      <w:r w:rsidRPr="00D77403">
        <w:rPr>
          <w:szCs w:val="24"/>
        </w:rPr>
        <w:t xml:space="preserve"> §§ 101</w:t>
      </w:r>
      <w:r w:rsidR="00F724CB" w:rsidRPr="00D77403">
        <w:rPr>
          <w:szCs w:val="24"/>
        </w:rPr>
        <w:t>, my emphasis</w:t>
      </w:r>
      <w:r w:rsidRPr="00D77403">
        <w:rPr>
          <w:szCs w:val="24"/>
        </w:rPr>
        <w:t>)</w:t>
      </w:r>
    </w:p>
    <w:p w14:paraId="2DB07082" w14:textId="01AFD9AE" w:rsidR="009C0EB5" w:rsidRPr="00D77403" w:rsidRDefault="003419BD" w:rsidP="00995C5D">
      <w:pPr>
        <w:pStyle w:val="level1"/>
        <w:rPr>
          <w:szCs w:val="24"/>
        </w:rPr>
      </w:pPr>
      <w:r w:rsidRPr="00D77403">
        <w:rPr>
          <w:szCs w:val="24"/>
        </w:rPr>
        <w:lastRenderedPageBreak/>
        <w:t xml:space="preserve">Having reviewed the authorities, Picken J concluded </w:t>
      </w:r>
      <w:r w:rsidR="00B24341" w:rsidRPr="00D77403">
        <w:rPr>
          <w:szCs w:val="24"/>
        </w:rPr>
        <w:t>that</w:t>
      </w:r>
      <w:r w:rsidR="00D13480" w:rsidRPr="00D77403">
        <w:rPr>
          <w:szCs w:val="24"/>
        </w:rPr>
        <w:t xml:space="preserve">, whether </w:t>
      </w:r>
      <w:r w:rsidR="009C6998" w:rsidRPr="00D77403">
        <w:rPr>
          <w:szCs w:val="24"/>
        </w:rPr>
        <w:t>a</w:t>
      </w:r>
      <w:r w:rsidR="00D13480" w:rsidRPr="00D77403">
        <w:rPr>
          <w:szCs w:val="24"/>
        </w:rPr>
        <w:t xml:space="preserve"> representation </w:t>
      </w:r>
      <w:r w:rsidR="009C6998" w:rsidRPr="00D77403">
        <w:rPr>
          <w:szCs w:val="24"/>
        </w:rPr>
        <w:t>is</w:t>
      </w:r>
      <w:r w:rsidR="00D13480" w:rsidRPr="00D77403">
        <w:rPr>
          <w:szCs w:val="24"/>
        </w:rPr>
        <w:t xml:space="preserve"> express or implied,</w:t>
      </w:r>
      <w:r w:rsidR="00B24341" w:rsidRPr="00D77403">
        <w:rPr>
          <w:szCs w:val="24"/>
        </w:rPr>
        <w:t xml:space="preserve"> the representee must show that he/she had </w:t>
      </w:r>
      <w:r w:rsidR="0096010B" w:rsidRPr="00D77403">
        <w:rPr>
          <w:i/>
          <w:iCs/>
          <w:szCs w:val="24"/>
        </w:rPr>
        <w:t xml:space="preserve">“given some contemporaneous conscious thought to the fact that some representations were being impliedly made </w:t>
      </w:r>
      <w:r w:rsidR="003D0A77" w:rsidRPr="00D77403">
        <w:rPr>
          <w:i/>
          <w:iCs/>
          <w:szCs w:val="24"/>
        </w:rPr>
        <w:t>…</w:t>
      </w:r>
      <w:r w:rsidR="0096010B" w:rsidRPr="00D77403">
        <w:rPr>
          <w:i/>
          <w:iCs/>
          <w:szCs w:val="24"/>
        </w:rPr>
        <w:t>”</w:t>
      </w:r>
      <w:r w:rsidR="0096010B" w:rsidRPr="00D77403">
        <w:rPr>
          <w:szCs w:val="24"/>
        </w:rPr>
        <w:t xml:space="preserve"> (§ 286).  </w:t>
      </w:r>
      <w:r w:rsidR="007D6336" w:rsidRPr="00D77403">
        <w:rPr>
          <w:szCs w:val="24"/>
        </w:rPr>
        <w:t xml:space="preserve">Any other view would remove </w:t>
      </w:r>
      <w:r w:rsidR="00551154" w:rsidRPr="00D77403">
        <w:rPr>
          <w:szCs w:val="24"/>
        </w:rPr>
        <w:t xml:space="preserve">an important distinction between actionable non-disclosure and misrepresentation.  </w:t>
      </w:r>
      <w:r w:rsidR="00274265" w:rsidRPr="00D77403">
        <w:rPr>
          <w:szCs w:val="24"/>
        </w:rPr>
        <w:t xml:space="preserve">Marne’s representative </w:t>
      </w:r>
      <w:r w:rsidR="00995C5D" w:rsidRPr="00D77403">
        <w:rPr>
          <w:szCs w:val="24"/>
        </w:rPr>
        <w:t xml:space="preserve">accepted that it would not have occurred to him at the time of the transaction that any bank might put in a false quotation into the EURIBOR process; </w:t>
      </w:r>
      <w:r w:rsidR="00C46C5E" w:rsidRPr="00D77403">
        <w:rPr>
          <w:szCs w:val="24"/>
        </w:rPr>
        <w:t xml:space="preserve">and </w:t>
      </w:r>
      <w:r w:rsidR="00995C5D" w:rsidRPr="00D77403">
        <w:rPr>
          <w:szCs w:val="24"/>
        </w:rPr>
        <w:t>that he would not have spent any time thinking about the process by which EURIBOR was set.  So</w:t>
      </w:r>
      <w:r w:rsidR="00C46C5E" w:rsidRPr="00D77403">
        <w:rPr>
          <w:szCs w:val="24"/>
        </w:rPr>
        <w:t>, at most,</w:t>
      </w:r>
      <w:r w:rsidR="00995C5D" w:rsidRPr="00D77403">
        <w:rPr>
          <w:szCs w:val="24"/>
        </w:rPr>
        <w:t xml:space="preserve"> he </w:t>
      </w:r>
      <w:r w:rsidR="00C46C5E" w:rsidRPr="00D77403">
        <w:rPr>
          <w:szCs w:val="24"/>
        </w:rPr>
        <w:t xml:space="preserve">merely </w:t>
      </w:r>
      <w:r w:rsidR="00995C5D" w:rsidRPr="00D77403">
        <w:rPr>
          <w:szCs w:val="24"/>
        </w:rPr>
        <w:t xml:space="preserve">assumed </w:t>
      </w:r>
      <w:r w:rsidR="000E3F58" w:rsidRPr="00D77403">
        <w:rPr>
          <w:szCs w:val="24"/>
        </w:rPr>
        <w:t>EURIBOR to be a ‘true and honest’ rate (§ 287).</w:t>
      </w:r>
      <w:r w:rsidR="00C46C5E" w:rsidRPr="00D77403">
        <w:rPr>
          <w:szCs w:val="24"/>
        </w:rPr>
        <w:t xml:space="preserve">  That was no</w:t>
      </w:r>
      <w:r w:rsidR="009C6998" w:rsidRPr="00D77403">
        <w:rPr>
          <w:szCs w:val="24"/>
        </w:rPr>
        <w:t>t</w:t>
      </w:r>
      <w:r w:rsidR="00C46C5E" w:rsidRPr="00D77403">
        <w:rPr>
          <w:szCs w:val="24"/>
        </w:rPr>
        <w:t xml:space="preserve"> enough.</w:t>
      </w:r>
    </w:p>
    <w:p w14:paraId="365A419E" w14:textId="4D86D9F1" w:rsidR="00A74364" w:rsidRPr="00D77403" w:rsidRDefault="000603F5" w:rsidP="00C92F7A">
      <w:pPr>
        <w:pStyle w:val="level1"/>
        <w:rPr>
          <w:szCs w:val="24"/>
        </w:rPr>
      </w:pPr>
      <w:r w:rsidRPr="00D77403">
        <w:rPr>
          <w:szCs w:val="24"/>
        </w:rPr>
        <w:t xml:space="preserve">Two years later </w:t>
      </w:r>
      <w:r w:rsidR="009C6998" w:rsidRPr="00D77403">
        <w:rPr>
          <w:szCs w:val="24"/>
        </w:rPr>
        <w:t>came</w:t>
      </w:r>
      <w:r w:rsidRPr="00D77403">
        <w:rPr>
          <w:szCs w:val="24"/>
        </w:rPr>
        <w:t xml:space="preserve"> a third interest rigging case, </w:t>
      </w:r>
      <w:r w:rsidR="009F7035" w:rsidRPr="00D77403">
        <w:rPr>
          <w:i/>
          <w:iCs/>
          <w:szCs w:val="24"/>
        </w:rPr>
        <w:t>Leeds City Council</w:t>
      </w:r>
      <w:r w:rsidR="00847B1A" w:rsidRPr="00D77403">
        <w:rPr>
          <w:i/>
          <w:iCs/>
          <w:szCs w:val="24"/>
        </w:rPr>
        <w:t xml:space="preserve"> v Barclays Bank </w:t>
      </w:r>
      <w:r w:rsidR="00847B1A" w:rsidRPr="00D77403">
        <w:rPr>
          <w:szCs w:val="24"/>
        </w:rPr>
        <w:t xml:space="preserve">[2021] EWHC 363 (Comm).  </w:t>
      </w:r>
      <w:r w:rsidR="00CD2F18" w:rsidRPr="00D77403">
        <w:rPr>
          <w:szCs w:val="24"/>
        </w:rPr>
        <w:t xml:space="preserve">This was a strike-out/summary judgment application.  </w:t>
      </w:r>
      <w:r w:rsidR="006F7551" w:rsidRPr="00D77403">
        <w:rPr>
          <w:szCs w:val="24"/>
        </w:rPr>
        <w:t xml:space="preserve">The </w:t>
      </w:r>
      <w:r w:rsidR="005C776F" w:rsidRPr="00D77403">
        <w:rPr>
          <w:szCs w:val="24"/>
        </w:rPr>
        <w:t xml:space="preserve">transactions were </w:t>
      </w:r>
      <w:r w:rsidR="00B945E2" w:rsidRPr="00D77403">
        <w:rPr>
          <w:szCs w:val="24"/>
        </w:rPr>
        <w:t xml:space="preserve">loans referenced to LIBOR, and the </w:t>
      </w:r>
      <w:r w:rsidR="006F7551" w:rsidRPr="00D77403">
        <w:rPr>
          <w:szCs w:val="24"/>
        </w:rPr>
        <w:t xml:space="preserve">alleged representations were that </w:t>
      </w:r>
      <w:r w:rsidR="00D42ECC" w:rsidRPr="00D77403">
        <w:rPr>
          <w:szCs w:val="24"/>
        </w:rPr>
        <w:t xml:space="preserve">LIBOR rates were (so far as the </w:t>
      </w:r>
      <w:r w:rsidR="00857E69" w:rsidRPr="00D77403">
        <w:rPr>
          <w:szCs w:val="24"/>
        </w:rPr>
        <w:t>b</w:t>
      </w:r>
      <w:r w:rsidR="00D42ECC" w:rsidRPr="00D77403">
        <w:rPr>
          <w:szCs w:val="24"/>
        </w:rPr>
        <w:t xml:space="preserve">ank knew) being set honestly and properly, and that the </w:t>
      </w:r>
      <w:r w:rsidR="00857E69" w:rsidRPr="00D77403">
        <w:rPr>
          <w:szCs w:val="24"/>
        </w:rPr>
        <w:t>b</w:t>
      </w:r>
      <w:r w:rsidR="00D42ECC" w:rsidRPr="00D77403">
        <w:rPr>
          <w:szCs w:val="24"/>
        </w:rPr>
        <w:t xml:space="preserve">ank was not (and had no intention of) engaging in any improper conduct in its participation in the LIBOR panel.  </w:t>
      </w:r>
      <w:r w:rsidR="00857E69" w:rsidRPr="00D77403">
        <w:rPr>
          <w:szCs w:val="24"/>
        </w:rPr>
        <w:t>The application proceeded on the assumed basis that the representations were made</w:t>
      </w:r>
      <w:r w:rsidR="00481A52" w:rsidRPr="00D77403">
        <w:rPr>
          <w:szCs w:val="24"/>
        </w:rPr>
        <w:t xml:space="preserve">, were false, and were made fraudulently.  The issue was </w:t>
      </w:r>
      <w:r w:rsidR="00561C97" w:rsidRPr="00D77403">
        <w:rPr>
          <w:szCs w:val="24"/>
        </w:rPr>
        <w:t xml:space="preserve">reliance.  </w:t>
      </w:r>
    </w:p>
    <w:p w14:paraId="505B810C" w14:textId="6321DD20" w:rsidR="00816F67" w:rsidRPr="00D77403" w:rsidRDefault="00561C97" w:rsidP="00C401CF">
      <w:pPr>
        <w:pStyle w:val="level1"/>
        <w:rPr>
          <w:szCs w:val="24"/>
        </w:rPr>
      </w:pPr>
      <w:r w:rsidRPr="00D77403">
        <w:rPr>
          <w:szCs w:val="24"/>
        </w:rPr>
        <w:t xml:space="preserve">The bank’s case was </w:t>
      </w:r>
      <w:r w:rsidR="00C92F7A" w:rsidRPr="00D77403">
        <w:rPr>
          <w:szCs w:val="24"/>
        </w:rPr>
        <w:t xml:space="preserve">that the claimant must establish that it actively/consciously appreciated that the alleged representation was being made.  The </w:t>
      </w:r>
      <w:r w:rsidR="00012F7D" w:rsidRPr="00D77403">
        <w:rPr>
          <w:szCs w:val="24"/>
        </w:rPr>
        <w:t xml:space="preserve">claimants could not show </w:t>
      </w:r>
      <w:r w:rsidR="00A74364" w:rsidRPr="00D77403">
        <w:rPr>
          <w:szCs w:val="24"/>
        </w:rPr>
        <w:t xml:space="preserve">this, but </w:t>
      </w:r>
      <w:r w:rsidR="00012F7D" w:rsidRPr="00D77403">
        <w:rPr>
          <w:szCs w:val="24"/>
        </w:rPr>
        <w:t xml:space="preserve">said they did not need to.  </w:t>
      </w:r>
      <w:r w:rsidR="00A76BCB" w:rsidRPr="00D77403">
        <w:rPr>
          <w:szCs w:val="24"/>
        </w:rPr>
        <w:t>They said</w:t>
      </w:r>
      <w:r w:rsidR="00665DA8" w:rsidRPr="00D77403">
        <w:rPr>
          <w:szCs w:val="24"/>
        </w:rPr>
        <w:t xml:space="preserve"> </w:t>
      </w:r>
      <w:r w:rsidR="00E310BB" w:rsidRPr="00D77403">
        <w:rPr>
          <w:szCs w:val="24"/>
        </w:rPr>
        <w:t>actual conscious thought was not necessary</w:t>
      </w:r>
      <w:r w:rsidR="006A425D" w:rsidRPr="00D77403">
        <w:rPr>
          <w:szCs w:val="24"/>
        </w:rPr>
        <w:t xml:space="preserve">, at least in cases of representations by conduct.  </w:t>
      </w:r>
      <w:r w:rsidR="00D82BD9" w:rsidRPr="00D77403">
        <w:rPr>
          <w:szCs w:val="24"/>
        </w:rPr>
        <w:t>It merely had to be shown that the claimant was influenced by the representation</w:t>
      </w:r>
      <w:r w:rsidR="00A76BCB" w:rsidRPr="00D77403">
        <w:rPr>
          <w:szCs w:val="24"/>
        </w:rPr>
        <w:t>:</w:t>
      </w:r>
      <w:r w:rsidR="00D82BD9" w:rsidRPr="00D77403">
        <w:rPr>
          <w:szCs w:val="24"/>
        </w:rPr>
        <w:t xml:space="preserve"> a question of fact in each case</w:t>
      </w:r>
      <w:r w:rsidR="00C401CF" w:rsidRPr="00D77403">
        <w:rPr>
          <w:szCs w:val="24"/>
        </w:rPr>
        <w:t xml:space="preserve">, citing </w:t>
      </w:r>
      <w:r w:rsidR="00C401CF" w:rsidRPr="00D77403">
        <w:rPr>
          <w:i/>
          <w:iCs/>
          <w:szCs w:val="24"/>
        </w:rPr>
        <w:t>DPP v Ray</w:t>
      </w:r>
      <w:r w:rsidR="00563FE9" w:rsidRPr="00D77403">
        <w:rPr>
          <w:szCs w:val="24"/>
        </w:rPr>
        <w:t>.</w:t>
      </w:r>
      <w:r w:rsidR="00C401CF" w:rsidRPr="00D77403">
        <w:rPr>
          <w:szCs w:val="24"/>
        </w:rPr>
        <w:t xml:space="preserve">  Cockerill J struck out the claim, stating that </w:t>
      </w:r>
      <w:r w:rsidR="00F5052C" w:rsidRPr="00D77403">
        <w:rPr>
          <w:szCs w:val="24"/>
        </w:rPr>
        <w:t xml:space="preserve">the reasoning in </w:t>
      </w:r>
      <w:r w:rsidR="00F5052C" w:rsidRPr="00D77403">
        <w:rPr>
          <w:i/>
          <w:iCs/>
          <w:szCs w:val="24"/>
        </w:rPr>
        <w:t>Ray</w:t>
      </w:r>
      <w:r w:rsidR="00F5052C" w:rsidRPr="00D77403">
        <w:rPr>
          <w:szCs w:val="24"/>
        </w:rPr>
        <w:t xml:space="preserve"> </w:t>
      </w:r>
      <w:r w:rsidR="00C401CF" w:rsidRPr="00D77403">
        <w:rPr>
          <w:szCs w:val="24"/>
        </w:rPr>
        <w:t>did</w:t>
      </w:r>
      <w:r w:rsidR="00145ABD" w:rsidRPr="00D77403">
        <w:rPr>
          <w:szCs w:val="24"/>
        </w:rPr>
        <w:t xml:space="preserve"> not focus on the question of awareness of a representation</w:t>
      </w:r>
      <w:r w:rsidR="00542AC6" w:rsidRPr="00D77403">
        <w:rPr>
          <w:szCs w:val="24"/>
        </w:rPr>
        <w:t xml:space="preserve"> as a</w:t>
      </w:r>
      <w:r w:rsidR="00B361B9" w:rsidRPr="00D77403">
        <w:rPr>
          <w:szCs w:val="24"/>
        </w:rPr>
        <w:t>n</w:t>
      </w:r>
      <w:r w:rsidR="00542AC6" w:rsidRPr="00D77403">
        <w:rPr>
          <w:szCs w:val="24"/>
        </w:rPr>
        <w:t xml:space="preserve"> element of reliance</w:t>
      </w:r>
      <w:r w:rsidR="00D56A7C" w:rsidRPr="00D77403">
        <w:rPr>
          <w:szCs w:val="24"/>
        </w:rPr>
        <w:t>, still less dismiss it</w:t>
      </w:r>
      <w:r w:rsidR="00145ABD" w:rsidRPr="00D77403">
        <w:rPr>
          <w:szCs w:val="24"/>
        </w:rPr>
        <w:t>.</w:t>
      </w:r>
      <w:r w:rsidR="00C3598E" w:rsidRPr="00D77403">
        <w:rPr>
          <w:szCs w:val="24"/>
        </w:rPr>
        <w:t xml:space="preserve">  </w:t>
      </w:r>
      <w:r w:rsidR="00910DFB" w:rsidRPr="00D77403">
        <w:rPr>
          <w:szCs w:val="24"/>
        </w:rPr>
        <w:t xml:space="preserve">She considered the cases to show that the </w:t>
      </w:r>
      <w:r w:rsidR="00684C2B" w:rsidRPr="00D77403">
        <w:rPr>
          <w:szCs w:val="24"/>
        </w:rPr>
        <w:t>claimant</w:t>
      </w:r>
      <w:r w:rsidR="00910DFB" w:rsidRPr="00D77403">
        <w:rPr>
          <w:szCs w:val="24"/>
        </w:rPr>
        <w:t xml:space="preserve"> needed to be aware of and understand the alleged representation, </w:t>
      </w:r>
      <w:r w:rsidR="00684C2B" w:rsidRPr="00D77403">
        <w:rPr>
          <w:szCs w:val="24"/>
        </w:rPr>
        <w:t>and that it was not enough to show that it assumed the state of affairs forming the content of the representation or would have acted differently had it known the truth.</w:t>
      </w:r>
    </w:p>
    <w:p w14:paraId="0B340151" w14:textId="0E77B4E0" w:rsidR="00A93144" w:rsidRPr="00D77403" w:rsidRDefault="00361556" w:rsidP="00A93144">
      <w:pPr>
        <w:pStyle w:val="level1"/>
        <w:rPr>
          <w:szCs w:val="24"/>
        </w:rPr>
      </w:pPr>
      <w:r w:rsidRPr="00D77403">
        <w:rPr>
          <w:szCs w:val="24"/>
        </w:rPr>
        <w:lastRenderedPageBreak/>
        <w:t xml:space="preserve">Meanwhile, outside of the context of financial transactions, </w:t>
      </w:r>
      <w:r w:rsidR="00455F3E" w:rsidRPr="00D77403">
        <w:rPr>
          <w:szCs w:val="24"/>
        </w:rPr>
        <w:t xml:space="preserve">Waksman J </w:t>
      </w:r>
      <w:r w:rsidRPr="00D77403">
        <w:rPr>
          <w:szCs w:val="24"/>
        </w:rPr>
        <w:t>took a different approach</w:t>
      </w:r>
      <w:r w:rsidR="001644C3" w:rsidRPr="00D77403">
        <w:rPr>
          <w:szCs w:val="24"/>
        </w:rPr>
        <w:t xml:space="preserve"> in </w:t>
      </w:r>
      <w:r w:rsidR="0065146E" w:rsidRPr="00D77403">
        <w:rPr>
          <w:i/>
          <w:iCs/>
          <w:szCs w:val="24"/>
        </w:rPr>
        <w:t>Crossley v Volkswagen</w:t>
      </w:r>
      <w:r w:rsidR="0065146E" w:rsidRPr="00D77403">
        <w:rPr>
          <w:szCs w:val="24"/>
        </w:rPr>
        <w:t xml:space="preserve"> [2021] EWHC 344</w:t>
      </w:r>
      <w:r w:rsidR="00160727" w:rsidRPr="00D77403">
        <w:rPr>
          <w:szCs w:val="24"/>
        </w:rPr>
        <w:t>4</w:t>
      </w:r>
      <w:r w:rsidR="0065146E" w:rsidRPr="00D77403">
        <w:rPr>
          <w:szCs w:val="24"/>
        </w:rPr>
        <w:t xml:space="preserve">, </w:t>
      </w:r>
      <w:r w:rsidRPr="00D77403">
        <w:rPr>
          <w:szCs w:val="24"/>
        </w:rPr>
        <w:t xml:space="preserve">part of the so-called ‘Dieselgate’ litigation.  </w:t>
      </w:r>
      <w:r w:rsidR="00557F24" w:rsidRPr="00D77403">
        <w:rPr>
          <w:szCs w:val="24"/>
        </w:rPr>
        <w:t>As will probably know, that is group litigation brought by car purchasers against manufacturers found to have used a ‘defeat device’ during emissions testing for their cars.  The manufacturers applied to strike out claims in deceit on the ground that the purchasers could not show that they had been consciously aware of any representation that the cars complied with emissions standards. Waksman J refused to do so, concluding that there were issue</w:t>
      </w:r>
      <w:r w:rsidR="009E3879" w:rsidRPr="00D77403">
        <w:rPr>
          <w:szCs w:val="24"/>
        </w:rPr>
        <w:t>s</w:t>
      </w:r>
      <w:r w:rsidR="00557F24" w:rsidRPr="00D77403">
        <w:rPr>
          <w:szCs w:val="24"/>
        </w:rPr>
        <w:t xml:space="preserve"> still to be worked out </w:t>
      </w:r>
      <w:r w:rsidR="00E404E9" w:rsidRPr="00D77403">
        <w:rPr>
          <w:szCs w:val="24"/>
        </w:rPr>
        <w:t>regarding reliance on</w:t>
      </w:r>
      <w:r w:rsidR="00557F24" w:rsidRPr="00D77403">
        <w:rPr>
          <w:szCs w:val="24"/>
        </w:rPr>
        <w:t xml:space="preserve"> implied representations by conduct</w:t>
      </w:r>
      <w:r w:rsidR="00E404E9" w:rsidRPr="00D77403">
        <w:rPr>
          <w:szCs w:val="24"/>
        </w:rPr>
        <w:t xml:space="preserve">.  He cited </w:t>
      </w:r>
      <w:r w:rsidR="00E404E9" w:rsidRPr="00D77403">
        <w:rPr>
          <w:i/>
          <w:iCs/>
          <w:szCs w:val="24"/>
        </w:rPr>
        <w:t xml:space="preserve">DPP v Ray </w:t>
      </w:r>
      <w:r w:rsidR="00E404E9" w:rsidRPr="00D77403">
        <w:rPr>
          <w:szCs w:val="24"/>
        </w:rPr>
        <w:t xml:space="preserve">and also two older cases.  </w:t>
      </w:r>
      <w:r w:rsidR="000B1D25" w:rsidRPr="00D77403">
        <w:rPr>
          <w:szCs w:val="24"/>
        </w:rPr>
        <w:t>One was</w:t>
      </w:r>
      <w:r w:rsidR="00337D44" w:rsidRPr="00D77403">
        <w:rPr>
          <w:szCs w:val="24"/>
        </w:rPr>
        <w:t xml:space="preserve"> </w:t>
      </w:r>
      <w:r w:rsidR="00751F77" w:rsidRPr="00D77403">
        <w:rPr>
          <w:i/>
          <w:iCs/>
          <w:szCs w:val="24"/>
        </w:rPr>
        <w:t>Gordon v Selico Ltd</w:t>
      </w:r>
      <w:r w:rsidR="00751F77" w:rsidRPr="00D77403">
        <w:rPr>
          <w:szCs w:val="24"/>
        </w:rPr>
        <w:t xml:space="preserve"> (1986) 18 HLR 219, </w:t>
      </w:r>
      <w:r w:rsidR="009E3879" w:rsidRPr="00D77403">
        <w:rPr>
          <w:szCs w:val="24"/>
        </w:rPr>
        <w:t xml:space="preserve">where </w:t>
      </w:r>
      <w:r w:rsidR="00CE6AD5" w:rsidRPr="00D77403">
        <w:rPr>
          <w:szCs w:val="24"/>
        </w:rPr>
        <w:t>the seller of a flat who deliberately covered up dry rot so that the prospective buyer would not see it was held liable in deceit.</w:t>
      </w:r>
      <w:r w:rsidR="00387539" w:rsidRPr="00D77403">
        <w:rPr>
          <w:szCs w:val="24"/>
        </w:rPr>
        <w:t xml:space="preserve">  It is hard to see what conscious awareness the buyer would have had of any implied representation </w:t>
      </w:r>
      <w:r w:rsidR="0010481D" w:rsidRPr="00D77403">
        <w:rPr>
          <w:szCs w:val="24"/>
        </w:rPr>
        <w:t>there</w:t>
      </w:r>
      <w:r w:rsidR="00A93144" w:rsidRPr="00D77403">
        <w:rPr>
          <w:szCs w:val="24"/>
        </w:rPr>
        <w:t>.</w:t>
      </w:r>
      <w:r w:rsidR="00CE6AD5" w:rsidRPr="00D77403">
        <w:rPr>
          <w:szCs w:val="24"/>
        </w:rPr>
        <w:t xml:space="preserve">  </w:t>
      </w:r>
      <w:r w:rsidR="00751F77" w:rsidRPr="00D77403">
        <w:rPr>
          <w:szCs w:val="24"/>
        </w:rPr>
        <w:t xml:space="preserve">The other </w:t>
      </w:r>
      <w:r w:rsidR="00A93144" w:rsidRPr="00D77403">
        <w:rPr>
          <w:szCs w:val="24"/>
        </w:rPr>
        <w:t xml:space="preserve">case </w:t>
      </w:r>
      <w:r w:rsidR="00751F77" w:rsidRPr="00D77403">
        <w:rPr>
          <w:szCs w:val="24"/>
        </w:rPr>
        <w:t xml:space="preserve">was </w:t>
      </w:r>
      <w:r w:rsidR="00A93144" w:rsidRPr="00D77403">
        <w:rPr>
          <w:i/>
          <w:iCs/>
          <w:szCs w:val="24"/>
        </w:rPr>
        <w:t>Spice Girls Ltd v Aprilia World Service BV</w:t>
      </w:r>
      <w:r w:rsidR="00A93144" w:rsidRPr="00D77403">
        <w:rPr>
          <w:szCs w:val="24"/>
        </w:rPr>
        <w:t xml:space="preserve"> [2002] EWCA Civ 15</w:t>
      </w:r>
      <w:r w:rsidR="008C7915" w:rsidRPr="00D77403">
        <w:rPr>
          <w:szCs w:val="24"/>
        </w:rPr>
        <w:t>,</w:t>
      </w:r>
      <w:r w:rsidR="00A93144" w:rsidRPr="00D77403">
        <w:rPr>
          <w:szCs w:val="24"/>
        </w:rPr>
        <w:t xml:space="preserve"> [2002] EMLR 27, </w:t>
      </w:r>
      <w:r w:rsidR="008C7915" w:rsidRPr="00D77403">
        <w:rPr>
          <w:szCs w:val="24"/>
        </w:rPr>
        <w:t xml:space="preserve">where </w:t>
      </w:r>
      <w:r w:rsidR="00CB45A6" w:rsidRPr="00D77403">
        <w:rPr>
          <w:szCs w:val="24"/>
        </w:rPr>
        <w:t xml:space="preserve">the participation in photoshoots </w:t>
      </w:r>
      <w:r w:rsidR="0010481D" w:rsidRPr="00D77403">
        <w:rPr>
          <w:szCs w:val="24"/>
        </w:rPr>
        <w:t>by</w:t>
      </w:r>
      <w:r w:rsidR="00CB45A6" w:rsidRPr="00D77403">
        <w:rPr>
          <w:szCs w:val="24"/>
        </w:rPr>
        <w:t xml:space="preserve"> all five members of the group and their approval of promotional material depicting all five of them for use in advertising by their sponsor were held to represent that they did not know that any member had declared an intention to leave the group (as Geri Halliwell had in fact done). A claim for damages for misrepresentation succeeded </w:t>
      </w:r>
      <w:r w:rsidR="00980F4C" w:rsidRPr="00D77403">
        <w:rPr>
          <w:szCs w:val="24"/>
        </w:rPr>
        <w:t xml:space="preserve">even </w:t>
      </w:r>
      <w:r w:rsidR="00CB45A6" w:rsidRPr="00D77403">
        <w:rPr>
          <w:szCs w:val="24"/>
        </w:rPr>
        <w:t xml:space="preserve">though, as the Court of Appeal noted, </w:t>
      </w:r>
      <w:r w:rsidR="00CB45A6" w:rsidRPr="00D77403">
        <w:rPr>
          <w:i/>
          <w:iCs/>
          <w:szCs w:val="24"/>
        </w:rPr>
        <w:t>“no one at [Aprilia] gave any consideration at the time to what representations were to be implied into the statements and conduct of the Spice Girls”</w:t>
      </w:r>
      <w:r w:rsidR="00980F4C" w:rsidRPr="00D77403">
        <w:rPr>
          <w:i/>
          <w:iCs/>
          <w:szCs w:val="24"/>
        </w:rPr>
        <w:t xml:space="preserve"> </w:t>
      </w:r>
      <w:r w:rsidR="00980F4C" w:rsidRPr="00D77403">
        <w:rPr>
          <w:szCs w:val="24"/>
        </w:rPr>
        <w:t>[67]</w:t>
      </w:r>
      <w:r w:rsidR="00CB45A6" w:rsidRPr="00D77403">
        <w:rPr>
          <w:szCs w:val="24"/>
        </w:rPr>
        <w:t>.</w:t>
      </w:r>
    </w:p>
    <w:p w14:paraId="23C56B02" w14:textId="77777777" w:rsidR="003C7342" w:rsidRPr="00D77403" w:rsidRDefault="00980F4C" w:rsidP="001B0A13">
      <w:pPr>
        <w:pStyle w:val="level1"/>
        <w:rPr>
          <w:szCs w:val="24"/>
        </w:rPr>
      </w:pPr>
      <w:r w:rsidRPr="00D77403">
        <w:rPr>
          <w:szCs w:val="24"/>
        </w:rPr>
        <w:t xml:space="preserve">Two years later came another financial case, </w:t>
      </w:r>
      <w:r w:rsidR="006A2EDA" w:rsidRPr="00D77403">
        <w:rPr>
          <w:i/>
          <w:iCs/>
          <w:szCs w:val="24"/>
        </w:rPr>
        <w:t xml:space="preserve">Loreley Financing (Jersey) No. 30 v Credit Suisse </w:t>
      </w:r>
      <w:r w:rsidR="006A2EDA" w:rsidRPr="00D77403">
        <w:rPr>
          <w:szCs w:val="24"/>
        </w:rPr>
        <w:t>[2023] EWHC 2759 (Comm)</w:t>
      </w:r>
      <w:r w:rsidRPr="00D77403">
        <w:rPr>
          <w:szCs w:val="24"/>
        </w:rPr>
        <w:t>.  It</w:t>
      </w:r>
      <w:r w:rsidR="006A2EDA" w:rsidRPr="00D77403">
        <w:rPr>
          <w:szCs w:val="24"/>
        </w:rPr>
        <w:t xml:space="preserve"> </w:t>
      </w:r>
      <w:r w:rsidR="00504960" w:rsidRPr="00D77403">
        <w:rPr>
          <w:szCs w:val="24"/>
        </w:rPr>
        <w:t xml:space="preserve">arose from losses incurred in 2010, after the financial crisis, on </w:t>
      </w:r>
      <w:r w:rsidR="004623FE" w:rsidRPr="00D77403">
        <w:rPr>
          <w:szCs w:val="24"/>
        </w:rPr>
        <w:t>CDOs referenced to sub-prime residential mortgage backed securities</w:t>
      </w:r>
      <w:r w:rsidR="003C7342" w:rsidRPr="00D77403">
        <w:rPr>
          <w:szCs w:val="24"/>
        </w:rPr>
        <w:t xml:space="preserve"> or ‘RMBS’</w:t>
      </w:r>
      <w:r w:rsidR="004623FE" w:rsidRPr="00D77403">
        <w:rPr>
          <w:szCs w:val="24"/>
        </w:rPr>
        <w:t xml:space="preserve">.  </w:t>
      </w:r>
      <w:r w:rsidR="001B0A13" w:rsidRPr="00D77403">
        <w:rPr>
          <w:szCs w:val="24"/>
        </w:rPr>
        <w:t>The claimant claimed that the bank knew that the RMBS were affected (or were at risk of being affected) by misconduct on its part in relation to its RMBS business, but that it had impliedly represented that it was unaware of any conduct on its part which tainted the credit quality of the notes</w:t>
      </w:r>
      <w:r w:rsidR="003C7342" w:rsidRPr="00D77403">
        <w:rPr>
          <w:szCs w:val="24"/>
        </w:rPr>
        <w:t>.</w:t>
      </w:r>
    </w:p>
    <w:p w14:paraId="61187491" w14:textId="71999048" w:rsidR="00517B10" w:rsidRPr="00D77403" w:rsidRDefault="00662968" w:rsidP="001B0A13">
      <w:pPr>
        <w:pStyle w:val="level1"/>
        <w:rPr>
          <w:szCs w:val="24"/>
        </w:rPr>
      </w:pPr>
      <w:r w:rsidRPr="00D77403">
        <w:rPr>
          <w:szCs w:val="24"/>
        </w:rPr>
        <w:lastRenderedPageBreak/>
        <w:t>Cockerill J</w:t>
      </w:r>
      <w:r w:rsidR="007A2BB1" w:rsidRPr="00D77403">
        <w:rPr>
          <w:szCs w:val="24"/>
        </w:rPr>
        <w:t xml:space="preserve"> found the claims to be time-barred, </w:t>
      </w:r>
      <w:r w:rsidR="00047EA0" w:rsidRPr="00D77403">
        <w:rPr>
          <w:szCs w:val="24"/>
        </w:rPr>
        <w:t>and in the alternative</w:t>
      </w:r>
      <w:r w:rsidR="007A2BB1" w:rsidRPr="00D77403">
        <w:rPr>
          <w:szCs w:val="24"/>
        </w:rPr>
        <w:t xml:space="preserve"> </w:t>
      </w:r>
      <w:r w:rsidR="004D722D" w:rsidRPr="00D77403">
        <w:rPr>
          <w:szCs w:val="24"/>
        </w:rPr>
        <w:t xml:space="preserve">that the alleged representations had not been made or relied on.  </w:t>
      </w:r>
      <w:r w:rsidR="00D521D4" w:rsidRPr="00D77403">
        <w:rPr>
          <w:szCs w:val="24"/>
        </w:rPr>
        <w:t xml:space="preserve">As to reliance, </w:t>
      </w:r>
      <w:r w:rsidR="00B522CB" w:rsidRPr="00D77403">
        <w:rPr>
          <w:szCs w:val="24"/>
        </w:rPr>
        <w:t xml:space="preserve">Loreley submitted that if a defendant makes an implied representation intending the claimant to rely on it, then </w:t>
      </w:r>
      <w:r w:rsidR="00B522CB" w:rsidRPr="00D77403">
        <w:rPr>
          <w:i/>
          <w:iCs/>
          <w:szCs w:val="24"/>
        </w:rPr>
        <w:t>“reliance may be established by the claimant showing that it would not have entered into the relevant transaction had it known the true position”</w:t>
      </w:r>
      <w:r w:rsidR="00753E6E" w:rsidRPr="00D77403">
        <w:rPr>
          <w:i/>
          <w:iCs/>
          <w:szCs w:val="24"/>
        </w:rPr>
        <w:t xml:space="preserve"> </w:t>
      </w:r>
      <w:r w:rsidR="00753E6E" w:rsidRPr="00D77403">
        <w:rPr>
          <w:szCs w:val="24"/>
        </w:rPr>
        <w:t>(§ 379(</w:t>
      </w:r>
      <w:r w:rsidR="007F5C00" w:rsidRPr="00D77403">
        <w:rPr>
          <w:szCs w:val="24"/>
        </w:rPr>
        <w:t>v))</w:t>
      </w:r>
      <w:r w:rsidR="00B522CB" w:rsidRPr="00D77403">
        <w:rPr>
          <w:i/>
          <w:iCs/>
          <w:szCs w:val="24"/>
        </w:rPr>
        <w:t xml:space="preserve">.  </w:t>
      </w:r>
      <w:r w:rsidRPr="00D77403">
        <w:rPr>
          <w:szCs w:val="24"/>
        </w:rPr>
        <w:t>The judge</w:t>
      </w:r>
      <w:r w:rsidR="003B7480" w:rsidRPr="00D77403">
        <w:rPr>
          <w:szCs w:val="24"/>
        </w:rPr>
        <w:t xml:space="preserve"> rejected that approach, holding that</w:t>
      </w:r>
      <w:r w:rsidR="005709A4" w:rsidRPr="00D77403">
        <w:rPr>
          <w:szCs w:val="24"/>
        </w:rPr>
        <w:t>, whilst there was no universally applicable test</w:t>
      </w:r>
      <w:r w:rsidR="00CD7898" w:rsidRPr="00D77403">
        <w:rPr>
          <w:szCs w:val="24"/>
        </w:rPr>
        <w:t xml:space="preserve"> and the question is a nuanced one, </w:t>
      </w:r>
      <w:r w:rsidR="00836957" w:rsidRPr="00D77403">
        <w:rPr>
          <w:szCs w:val="24"/>
        </w:rPr>
        <w:t>the representee must in some sense be aware of the representation</w:t>
      </w:r>
      <w:r w:rsidR="00022E77" w:rsidRPr="00D77403">
        <w:rPr>
          <w:szCs w:val="24"/>
        </w:rPr>
        <w:t xml:space="preserve">, whether or not </w:t>
      </w:r>
      <w:r w:rsidR="00CD7833" w:rsidRPr="00D77403">
        <w:rPr>
          <w:szCs w:val="24"/>
        </w:rPr>
        <w:t>that awareness</w:t>
      </w:r>
      <w:r w:rsidR="00022E77" w:rsidRPr="00D77403">
        <w:rPr>
          <w:szCs w:val="24"/>
        </w:rPr>
        <w:t xml:space="preserve"> </w:t>
      </w:r>
      <w:r w:rsidR="008F27E0" w:rsidRPr="00D77403">
        <w:rPr>
          <w:szCs w:val="24"/>
        </w:rPr>
        <w:t xml:space="preserve">can aptly be described as </w:t>
      </w:r>
      <w:r w:rsidR="007F5C00" w:rsidRPr="00D77403">
        <w:rPr>
          <w:szCs w:val="24"/>
        </w:rPr>
        <w:t>‘conscious thought’ (§§ 38</w:t>
      </w:r>
      <w:r w:rsidR="00DA7CC0" w:rsidRPr="00D77403">
        <w:rPr>
          <w:szCs w:val="24"/>
        </w:rPr>
        <w:t>5-</w:t>
      </w:r>
      <w:r w:rsidR="00636412" w:rsidRPr="00D77403">
        <w:rPr>
          <w:szCs w:val="24"/>
        </w:rPr>
        <w:t xml:space="preserve">397).  </w:t>
      </w:r>
      <w:r w:rsidR="00C971FE" w:rsidRPr="00D77403">
        <w:rPr>
          <w:szCs w:val="24"/>
        </w:rPr>
        <w:t xml:space="preserve">As it was put in </w:t>
      </w:r>
      <w:r w:rsidR="00C971FE" w:rsidRPr="00D77403">
        <w:rPr>
          <w:i/>
          <w:iCs/>
          <w:szCs w:val="24"/>
        </w:rPr>
        <w:t>Smith v Chadwick</w:t>
      </w:r>
      <w:r w:rsidR="00C971FE" w:rsidRPr="00D77403">
        <w:rPr>
          <w:szCs w:val="24"/>
        </w:rPr>
        <w:t xml:space="preserve">, the representation </w:t>
      </w:r>
      <w:r w:rsidR="00C971FE" w:rsidRPr="00D77403">
        <w:rPr>
          <w:i/>
          <w:iCs/>
          <w:szCs w:val="24"/>
        </w:rPr>
        <w:t>“must have produced in [the representee’s] mind an erroneous belief, influencing his conduct”</w:t>
      </w:r>
      <w:r w:rsidR="00073D2E" w:rsidRPr="00D77403">
        <w:rPr>
          <w:szCs w:val="24"/>
        </w:rPr>
        <w:t>.</w:t>
      </w:r>
      <w:r w:rsidR="008C2991" w:rsidRPr="00D77403">
        <w:rPr>
          <w:szCs w:val="24"/>
        </w:rPr>
        <w:t xml:space="preserve">  </w:t>
      </w:r>
      <w:r w:rsidR="000E7F49" w:rsidRPr="00D77403">
        <w:rPr>
          <w:szCs w:val="24"/>
        </w:rPr>
        <w:t xml:space="preserve"> The judge cited a submission by counsel, A</w:t>
      </w:r>
      <w:r w:rsidR="00630F6A" w:rsidRPr="00D77403">
        <w:rPr>
          <w:szCs w:val="24"/>
        </w:rPr>
        <w:t>dam Sher</w:t>
      </w:r>
      <w:r w:rsidR="000E7F49" w:rsidRPr="00D77403">
        <w:rPr>
          <w:szCs w:val="24"/>
        </w:rPr>
        <w:t>, that</w:t>
      </w:r>
      <w:r w:rsidR="00FC4B93" w:rsidRPr="00D77403">
        <w:rPr>
          <w:szCs w:val="24"/>
        </w:rPr>
        <w:t xml:space="preserve"> </w:t>
      </w:r>
      <w:r w:rsidR="00990D43" w:rsidRPr="00D77403">
        <w:rPr>
          <w:szCs w:val="24"/>
        </w:rPr>
        <w:t>“</w:t>
      </w:r>
      <w:r w:rsidR="00990D43" w:rsidRPr="00D77403">
        <w:rPr>
          <w:i/>
          <w:iCs/>
          <w:szCs w:val="24"/>
        </w:rPr>
        <w:t>the counterfactual of truth does not work as a gatekeeper because it does not distinguish between, on the one hand, mistaken assumptions not caused by the conduct and on the other, an understanding caused by the conduct or the representation</w:t>
      </w:r>
      <w:r w:rsidR="00990D43" w:rsidRPr="00D77403">
        <w:rPr>
          <w:szCs w:val="24"/>
        </w:rPr>
        <w:t>”</w:t>
      </w:r>
      <w:r w:rsidR="00047EA0" w:rsidRPr="00D77403">
        <w:rPr>
          <w:szCs w:val="24"/>
        </w:rPr>
        <w:t xml:space="preserve"> (</w:t>
      </w:r>
      <w:r w:rsidR="00047EA0" w:rsidRPr="00D77403">
        <w:rPr>
          <w:i/>
          <w:iCs/>
          <w:szCs w:val="24"/>
        </w:rPr>
        <w:t xml:space="preserve">Loreley </w:t>
      </w:r>
      <w:r w:rsidR="00047EA0" w:rsidRPr="00D77403">
        <w:rPr>
          <w:szCs w:val="24"/>
        </w:rPr>
        <w:t xml:space="preserve">§ </w:t>
      </w:r>
      <w:r w:rsidR="00DF2075" w:rsidRPr="00D77403">
        <w:rPr>
          <w:szCs w:val="24"/>
        </w:rPr>
        <w:t>393)</w:t>
      </w:r>
      <w:r w:rsidR="00990D43" w:rsidRPr="00D77403">
        <w:rPr>
          <w:szCs w:val="24"/>
        </w:rPr>
        <w:t>.</w:t>
      </w:r>
      <w:r w:rsidR="000E7F49" w:rsidRPr="00D77403">
        <w:rPr>
          <w:szCs w:val="24"/>
        </w:rPr>
        <w:t xml:space="preserve">  </w:t>
      </w:r>
      <w:r w:rsidR="00D62D04" w:rsidRPr="00D77403">
        <w:rPr>
          <w:szCs w:val="24"/>
        </w:rPr>
        <w:t>Th</w:t>
      </w:r>
      <w:r w:rsidRPr="00D77403">
        <w:rPr>
          <w:szCs w:val="24"/>
        </w:rPr>
        <w:t>at</w:t>
      </w:r>
      <w:r w:rsidR="00D62D04" w:rsidRPr="00D77403">
        <w:rPr>
          <w:szCs w:val="24"/>
        </w:rPr>
        <w:t xml:space="preserve"> submission </w:t>
      </w:r>
      <w:r w:rsidRPr="00D77403">
        <w:rPr>
          <w:szCs w:val="24"/>
        </w:rPr>
        <w:t>was</w:t>
      </w:r>
      <w:r w:rsidR="00D62D04" w:rsidRPr="00D77403">
        <w:rPr>
          <w:szCs w:val="24"/>
        </w:rPr>
        <w:t xml:space="preserve"> surely correct</w:t>
      </w:r>
      <w:r w:rsidRPr="00D77403">
        <w:rPr>
          <w:szCs w:val="24"/>
        </w:rPr>
        <w:t xml:space="preserve"> in itself</w:t>
      </w:r>
      <w:r w:rsidR="00D62D04" w:rsidRPr="00D77403">
        <w:rPr>
          <w:szCs w:val="24"/>
        </w:rPr>
        <w:t xml:space="preserve">, but it does not address the possibility of the </w:t>
      </w:r>
      <w:r w:rsidR="00F148DC" w:rsidRPr="00D77403">
        <w:rPr>
          <w:szCs w:val="24"/>
        </w:rPr>
        <w:t>representation having operated on the claimant’s mind without the claimant being consciously aware of the representation.</w:t>
      </w:r>
    </w:p>
    <w:p w14:paraId="7CFAB6E7" w14:textId="077B9379" w:rsidR="00F148DC" w:rsidRPr="00D77403" w:rsidRDefault="002A6059" w:rsidP="009A23C8">
      <w:pPr>
        <w:pStyle w:val="level1"/>
        <w:rPr>
          <w:szCs w:val="24"/>
        </w:rPr>
      </w:pPr>
      <w:r w:rsidRPr="00D77403">
        <w:rPr>
          <w:szCs w:val="24"/>
        </w:rPr>
        <w:t xml:space="preserve">The landscape has now completely changed with the Privy Council’s decision </w:t>
      </w:r>
      <w:r w:rsidR="00AA6DE1" w:rsidRPr="00D77403">
        <w:rPr>
          <w:szCs w:val="24"/>
        </w:rPr>
        <w:t xml:space="preserve">two months ago in </w:t>
      </w:r>
      <w:r w:rsidR="00734853" w:rsidRPr="00D77403">
        <w:rPr>
          <w:i/>
          <w:iCs/>
          <w:szCs w:val="24"/>
        </w:rPr>
        <w:t>Credit Suisse Life (Bermuda) Ltd v Ivanishvili</w:t>
      </w:r>
      <w:r w:rsidR="00162280" w:rsidRPr="00D77403">
        <w:rPr>
          <w:i/>
          <w:iCs/>
          <w:szCs w:val="24"/>
        </w:rPr>
        <w:t xml:space="preserve"> and others</w:t>
      </w:r>
      <w:r w:rsidR="00734853" w:rsidRPr="00D77403">
        <w:rPr>
          <w:szCs w:val="24"/>
        </w:rPr>
        <w:t xml:space="preserve"> [2025] UKPC 53.  </w:t>
      </w:r>
      <w:r w:rsidR="00313074" w:rsidRPr="00D77403">
        <w:rPr>
          <w:szCs w:val="24"/>
        </w:rPr>
        <w:t xml:space="preserve">It concerned an investment by the former Prime Minister of Georgia in </w:t>
      </w:r>
      <w:r w:rsidR="008E2507" w:rsidRPr="00D77403">
        <w:rPr>
          <w:szCs w:val="24"/>
        </w:rPr>
        <w:t>a</w:t>
      </w:r>
      <w:r w:rsidR="00D654EB" w:rsidRPr="00D77403">
        <w:rPr>
          <w:szCs w:val="24"/>
        </w:rPr>
        <w:t xml:space="preserve"> </w:t>
      </w:r>
      <w:r w:rsidR="008E2507" w:rsidRPr="00D77403">
        <w:rPr>
          <w:szCs w:val="24"/>
        </w:rPr>
        <w:t xml:space="preserve">product called a life portfolio international policy, designed to </w:t>
      </w:r>
      <w:r w:rsidR="00710715" w:rsidRPr="00D77403">
        <w:rPr>
          <w:szCs w:val="24"/>
        </w:rPr>
        <w:t xml:space="preserve">have the wealth and inheritance planning advantages of an offshore life insurance policy but without changing the way the assets put into the policy are managed.  </w:t>
      </w:r>
      <w:r w:rsidR="008C1CE2" w:rsidRPr="00D77403">
        <w:rPr>
          <w:szCs w:val="24"/>
        </w:rPr>
        <w:t xml:space="preserve">The first instance judge, the Chief Justice of Bermuda, found that </w:t>
      </w:r>
      <w:r w:rsidR="005150A0" w:rsidRPr="00D77403">
        <w:rPr>
          <w:szCs w:val="24"/>
        </w:rPr>
        <w:t xml:space="preserve">by recommending investment in the policies, the bank’s agent impliedly represented that the </w:t>
      </w:r>
      <w:r w:rsidR="004D3E51" w:rsidRPr="00D77403">
        <w:rPr>
          <w:szCs w:val="24"/>
        </w:rPr>
        <w:t>b</w:t>
      </w:r>
      <w:r w:rsidR="005150A0" w:rsidRPr="00D77403">
        <w:rPr>
          <w:szCs w:val="24"/>
        </w:rPr>
        <w:t xml:space="preserve">ank (including the agent himself) was not managing the </w:t>
      </w:r>
      <w:r w:rsidR="00162280" w:rsidRPr="00D77403">
        <w:rPr>
          <w:szCs w:val="24"/>
        </w:rPr>
        <w:t>claimants’</w:t>
      </w:r>
      <w:r w:rsidR="005150A0" w:rsidRPr="00D77403">
        <w:rPr>
          <w:szCs w:val="24"/>
        </w:rPr>
        <w:t xml:space="preserve"> accounts fraudulently and did not intend to manage the policy assets fraudulently. Those representations were false and known to be so by the agent. They were intended to, and did, induce the </w:t>
      </w:r>
      <w:r w:rsidR="00162280" w:rsidRPr="00D77403">
        <w:rPr>
          <w:szCs w:val="24"/>
        </w:rPr>
        <w:t>claimants</w:t>
      </w:r>
      <w:r w:rsidR="005150A0" w:rsidRPr="00D77403">
        <w:rPr>
          <w:szCs w:val="24"/>
        </w:rPr>
        <w:t xml:space="preserve"> to enter into the policies. Th</w:t>
      </w:r>
      <w:r w:rsidR="009A23C8" w:rsidRPr="00D77403">
        <w:rPr>
          <w:szCs w:val="24"/>
        </w:rPr>
        <w:t>o</w:t>
      </w:r>
      <w:r w:rsidR="005150A0" w:rsidRPr="00D77403">
        <w:rPr>
          <w:szCs w:val="24"/>
        </w:rPr>
        <w:t>se findings were affirmed by the Court of Appeal.</w:t>
      </w:r>
      <w:r w:rsidR="009A23C8" w:rsidRPr="00D77403">
        <w:rPr>
          <w:szCs w:val="24"/>
        </w:rPr>
        <w:t xml:space="preserve">  However, the</w:t>
      </w:r>
      <w:r w:rsidR="005150A0" w:rsidRPr="00D77403">
        <w:rPr>
          <w:szCs w:val="24"/>
        </w:rPr>
        <w:t xml:space="preserve"> Court of Appeal </w:t>
      </w:r>
      <w:r w:rsidR="00D654EB" w:rsidRPr="00D77403">
        <w:rPr>
          <w:szCs w:val="24"/>
        </w:rPr>
        <w:t xml:space="preserve">of Bermuda </w:t>
      </w:r>
      <w:r w:rsidR="009A23C8" w:rsidRPr="00D77403">
        <w:rPr>
          <w:szCs w:val="24"/>
        </w:rPr>
        <w:t>held</w:t>
      </w:r>
      <w:r w:rsidR="005150A0" w:rsidRPr="00D77403">
        <w:rPr>
          <w:szCs w:val="24"/>
        </w:rPr>
        <w:t xml:space="preserve"> that the misrepresentation claim failed</w:t>
      </w:r>
      <w:r w:rsidR="004D3E51" w:rsidRPr="00D77403">
        <w:rPr>
          <w:szCs w:val="24"/>
        </w:rPr>
        <w:t xml:space="preserve">, first, </w:t>
      </w:r>
      <w:r w:rsidR="005150A0" w:rsidRPr="00D77403">
        <w:rPr>
          <w:szCs w:val="24"/>
        </w:rPr>
        <w:t>because</w:t>
      </w:r>
      <w:r w:rsidR="004D3E51" w:rsidRPr="00D77403">
        <w:rPr>
          <w:szCs w:val="24"/>
        </w:rPr>
        <w:t xml:space="preserve"> </w:t>
      </w:r>
      <w:r w:rsidR="005150A0" w:rsidRPr="00D77403">
        <w:rPr>
          <w:szCs w:val="24"/>
        </w:rPr>
        <w:lastRenderedPageBreak/>
        <w:t xml:space="preserve">the </w:t>
      </w:r>
      <w:r w:rsidR="00162280" w:rsidRPr="00D77403">
        <w:rPr>
          <w:szCs w:val="24"/>
        </w:rPr>
        <w:t>claimants</w:t>
      </w:r>
      <w:r w:rsidR="005150A0" w:rsidRPr="00D77403">
        <w:rPr>
          <w:szCs w:val="24"/>
        </w:rPr>
        <w:t xml:space="preserve"> had not pleaded and proved that Mr Ivanishvili had any conscious awareness or understanding of the representations made to him</w:t>
      </w:r>
      <w:r w:rsidR="00162280" w:rsidRPr="00D77403">
        <w:rPr>
          <w:szCs w:val="24"/>
        </w:rPr>
        <w:t>,</w:t>
      </w:r>
      <w:r w:rsidR="005150A0" w:rsidRPr="00D77403">
        <w:rPr>
          <w:szCs w:val="24"/>
        </w:rPr>
        <w:t xml:space="preserve"> </w:t>
      </w:r>
      <w:r w:rsidR="00162280" w:rsidRPr="00D77403">
        <w:rPr>
          <w:szCs w:val="24"/>
        </w:rPr>
        <w:t>and secondly on time bar grounds</w:t>
      </w:r>
      <w:r w:rsidR="005150A0" w:rsidRPr="00D77403">
        <w:rPr>
          <w:szCs w:val="24"/>
        </w:rPr>
        <w:t>.</w:t>
      </w:r>
    </w:p>
    <w:p w14:paraId="13C72391" w14:textId="0E8D61A4" w:rsidR="00162280" w:rsidRPr="00D77403" w:rsidRDefault="00666625" w:rsidP="00343149">
      <w:pPr>
        <w:pStyle w:val="level1"/>
        <w:rPr>
          <w:szCs w:val="24"/>
        </w:rPr>
      </w:pPr>
      <w:r w:rsidRPr="00D77403">
        <w:rPr>
          <w:szCs w:val="24"/>
        </w:rPr>
        <w:t xml:space="preserve">The Privy Council concluded that the claim was time barred, but </w:t>
      </w:r>
      <w:r w:rsidR="00F042ED" w:rsidRPr="00D77403">
        <w:rPr>
          <w:szCs w:val="24"/>
        </w:rPr>
        <w:t xml:space="preserve">first addressed the misrepresentation issue in detail.  </w:t>
      </w:r>
      <w:r w:rsidR="00E728D2" w:rsidRPr="00D77403">
        <w:rPr>
          <w:szCs w:val="24"/>
        </w:rPr>
        <w:t xml:space="preserve">In short, it disapproved all of the decisions </w:t>
      </w:r>
      <w:r w:rsidR="009232E2" w:rsidRPr="00D77403">
        <w:rPr>
          <w:szCs w:val="24"/>
        </w:rPr>
        <w:t xml:space="preserve">and statements requiring conscious awareness and understanding by the claimant of the misrepresentation, </w:t>
      </w:r>
      <w:r w:rsidR="00D654EB" w:rsidRPr="00D77403">
        <w:rPr>
          <w:szCs w:val="24"/>
        </w:rPr>
        <w:t xml:space="preserve">instead holding it to be enough </w:t>
      </w:r>
      <w:r w:rsidR="00775E6E" w:rsidRPr="00D77403">
        <w:rPr>
          <w:szCs w:val="24"/>
        </w:rPr>
        <w:t>that the representation had a causative effec</w:t>
      </w:r>
      <w:r w:rsidR="002661F0" w:rsidRPr="00D77403">
        <w:rPr>
          <w:szCs w:val="24"/>
        </w:rPr>
        <w:t xml:space="preserve">t.  </w:t>
      </w:r>
      <w:r w:rsidR="007E3CFB" w:rsidRPr="00D77403">
        <w:rPr>
          <w:szCs w:val="24"/>
        </w:rPr>
        <w:t xml:space="preserve">Giving the lead judgment, Lord Leggatt referred </w:t>
      </w:r>
      <w:r w:rsidR="00F835CA" w:rsidRPr="00D77403">
        <w:rPr>
          <w:szCs w:val="24"/>
        </w:rPr>
        <w:t xml:space="preserve">at [130] </w:t>
      </w:r>
      <w:r w:rsidR="007E3CFB" w:rsidRPr="00D77403">
        <w:rPr>
          <w:szCs w:val="24"/>
        </w:rPr>
        <w:t xml:space="preserve">to the </w:t>
      </w:r>
      <w:r w:rsidR="00F835CA" w:rsidRPr="00D77403">
        <w:rPr>
          <w:szCs w:val="24"/>
        </w:rPr>
        <w:t xml:space="preserve">list of examples given in </w:t>
      </w:r>
      <w:r w:rsidR="00F835CA" w:rsidRPr="00D77403">
        <w:rPr>
          <w:i/>
          <w:iCs/>
          <w:szCs w:val="24"/>
        </w:rPr>
        <w:t xml:space="preserve">Clerk &amp; Lindsell on Torts </w:t>
      </w:r>
      <w:r w:rsidR="00F835CA" w:rsidRPr="00D77403">
        <w:rPr>
          <w:szCs w:val="24"/>
        </w:rPr>
        <w:t>(24</w:t>
      </w:r>
      <w:r w:rsidR="00F835CA" w:rsidRPr="00D77403">
        <w:rPr>
          <w:szCs w:val="24"/>
          <w:vertAlign w:val="superscript"/>
        </w:rPr>
        <w:t>th</w:t>
      </w:r>
      <w:r w:rsidR="00F835CA" w:rsidRPr="00D77403">
        <w:rPr>
          <w:szCs w:val="24"/>
        </w:rPr>
        <w:t xml:space="preserve"> ed., § 17-09) </w:t>
      </w:r>
      <w:r w:rsidR="00D97E92" w:rsidRPr="00D77403">
        <w:rPr>
          <w:szCs w:val="24"/>
        </w:rPr>
        <w:t xml:space="preserve">of actionable deceit, including </w:t>
      </w:r>
      <w:r w:rsidR="00D12EED" w:rsidRPr="00D77403">
        <w:rPr>
          <w:szCs w:val="24"/>
        </w:rPr>
        <w:t>pledging goods as security for a loan knowing that one has no title to the goods or authority from the owner to pledge them (</w:t>
      </w:r>
      <w:r w:rsidR="00D12EED" w:rsidRPr="00D77403">
        <w:rPr>
          <w:i/>
          <w:iCs/>
          <w:szCs w:val="24"/>
        </w:rPr>
        <w:t>Advanced Industrial Technology Corpn Ltd v Bond Street Jewellers Ltd</w:t>
      </w:r>
      <w:r w:rsidR="00D12EED" w:rsidRPr="00D77403">
        <w:rPr>
          <w:szCs w:val="24"/>
        </w:rPr>
        <w:t xml:space="preserve"> [2006] EWCA Civ 923); ordering goods on credit on behalf of a company known to be insolvent (</w:t>
      </w:r>
      <w:r w:rsidR="00D12EED" w:rsidRPr="00D77403">
        <w:rPr>
          <w:i/>
          <w:iCs/>
          <w:szCs w:val="24"/>
        </w:rPr>
        <w:t>Contex Drouzhba Ltd v Wiseman</w:t>
      </w:r>
      <w:r w:rsidR="00D12EED" w:rsidRPr="00D77403">
        <w:rPr>
          <w:szCs w:val="24"/>
        </w:rPr>
        <w:t xml:space="preserve"> [2008] BCC 301); presenting company accounts to a buyer knowing that they ha</w:t>
      </w:r>
      <w:r w:rsidR="00926C41" w:rsidRPr="00D77403">
        <w:rPr>
          <w:szCs w:val="24"/>
        </w:rPr>
        <w:t>ve</w:t>
      </w:r>
      <w:r w:rsidR="00D12EED" w:rsidRPr="00D77403">
        <w:rPr>
          <w:szCs w:val="24"/>
        </w:rPr>
        <w:t xml:space="preserve"> been dishonestly prepared (</w:t>
      </w:r>
      <w:r w:rsidR="00D12EED" w:rsidRPr="00D77403">
        <w:rPr>
          <w:i/>
          <w:iCs/>
          <w:szCs w:val="24"/>
        </w:rPr>
        <w:t>MAN Nutzfahrzeuge AG v Freightliner Ltd</w:t>
      </w:r>
      <w:r w:rsidR="00D12EED" w:rsidRPr="00D77403">
        <w:rPr>
          <w:szCs w:val="24"/>
        </w:rPr>
        <w:t xml:space="preserve"> [2005] EWHC 2347 (Comm) at [78]); and inviting someone to invest in a company known to be insolvent (</w:t>
      </w:r>
      <w:r w:rsidR="00D12EED" w:rsidRPr="00D77403">
        <w:rPr>
          <w:i/>
          <w:iCs/>
          <w:szCs w:val="24"/>
        </w:rPr>
        <w:t>Sinha v Taylor</w:t>
      </w:r>
      <w:r w:rsidR="00D12EED" w:rsidRPr="00D77403">
        <w:rPr>
          <w:szCs w:val="24"/>
        </w:rPr>
        <w:t xml:space="preserve"> [2022] EWHC 1096 (Comm) at [57]).  </w:t>
      </w:r>
      <w:r w:rsidR="00D905F6" w:rsidRPr="00D77403">
        <w:rPr>
          <w:szCs w:val="24"/>
        </w:rPr>
        <w:t>Lord Leggatt</w:t>
      </w:r>
      <w:r w:rsidR="00D12EED" w:rsidRPr="00D77403">
        <w:rPr>
          <w:szCs w:val="24"/>
        </w:rPr>
        <w:t xml:space="preserve"> went on to refer to </w:t>
      </w:r>
      <w:r w:rsidR="001C3DDB" w:rsidRPr="00D77403">
        <w:rPr>
          <w:i/>
          <w:iCs/>
          <w:szCs w:val="24"/>
        </w:rPr>
        <w:t xml:space="preserve">DPP v Ray, Gordon v Selico, Spice Girls v Aprilia </w:t>
      </w:r>
      <w:r w:rsidR="001C3DDB" w:rsidRPr="00D77403">
        <w:rPr>
          <w:szCs w:val="24"/>
        </w:rPr>
        <w:t xml:space="preserve">and </w:t>
      </w:r>
      <w:r w:rsidR="00D97072" w:rsidRPr="00D77403">
        <w:rPr>
          <w:szCs w:val="24"/>
        </w:rPr>
        <w:t>the 19</w:t>
      </w:r>
      <w:r w:rsidR="00D97072" w:rsidRPr="00D77403">
        <w:rPr>
          <w:szCs w:val="24"/>
          <w:vertAlign w:val="superscript"/>
        </w:rPr>
        <w:t>th</w:t>
      </w:r>
      <w:r w:rsidR="00D97072" w:rsidRPr="00D77403">
        <w:rPr>
          <w:szCs w:val="24"/>
        </w:rPr>
        <w:t xml:space="preserve"> century case </w:t>
      </w:r>
      <w:r w:rsidR="00343149" w:rsidRPr="00D77403">
        <w:rPr>
          <w:i/>
          <w:iCs/>
          <w:szCs w:val="24"/>
        </w:rPr>
        <w:t>Schneider v Heath</w:t>
      </w:r>
      <w:r w:rsidR="00343149" w:rsidRPr="00D77403">
        <w:rPr>
          <w:szCs w:val="24"/>
        </w:rPr>
        <w:t xml:space="preserve"> (1813) 3 Camp 505, where Mansfield CJ found the seller of a ship liable in deceit by having the ship </w:t>
      </w:r>
      <w:r w:rsidR="00023157" w:rsidRPr="00D77403">
        <w:rPr>
          <w:szCs w:val="24"/>
        </w:rPr>
        <w:t xml:space="preserve">removed from dry dock into water in order </w:t>
      </w:r>
      <w:r w:rsidR="00343149" w:rsidRPr="00D77403">
        <w:rPr>
          <w:szCs w:val="24"/>
        </w:rPr>
        <w:t>to hide the fact that the hull was worm-eaten and the keel broken</w:t>
      </w:r>
      <w:r w:rsidR="00277735" w:rsidRPr="00D77403">
        <w:rPr>
          <w:szCs w:val="24"/>
        </w:rPr>
        <w:t>,</w:t>
      </w:r>
      <w:r w:rsidR="00343149" w:rsidRPr="00D77403">
        <w:rPr>
          <w:szCs w:val="24"/>
        </w:rPr>
        <w:t xml:space="preserve"> rendering the ship unseaworthy</w:t>
      </w:r>
      <w:r w:rsidR="00023157" w:rsidRPr="00D77403">
        <w:rPr>
          <w:szCs w:val="24"/>
        </w:rPr>
        <w:t>.</w:t>
      </w:r>
    </w:p>
    <w:p w14:paraId="47F6B4A2" w14:textId="109EF727" w:rsidR="00023157" w:rsidRPr="00D77403" w:rsidRDefault="00653063" w:rsidP="006F33C4">
      <w:pPr>
        <w:pStyle w:val="level1"/>
        <w:rPr>
          <w:szCs w:val="24"/>
        </w:rPr>
      </w:pPr>
      <w:r w:rsidRPr="00D77403">
        <w:rPr>
          <w:szCs w:val="24"/>
        </w:rPr>
        <w:t xml:space="preserve">After discussing the more recent cases, </w:t>
      </w:r>
      <w:r w:rsidR="00B3624D" w:rsidRPr="00D77403">
        <w:rPr>
          <w:szCs w:val="24"/>
        </w:rPr>
        <w:t>Lord Leggatt</w:t>
      </w:r>
      <w:r w:rsidRPr="00D77403">
        <w:rPr>
          <w:szCs w:val="24"/>
        </w:rPr>
        <w:t xml:space="preserve"> </w:t>
      </w:r>
      <w:r w:rsidR="002D3F95" w:rsidRPr="00D77403">
        <w:rPr>
          <w:szCs w:val="24"/>
        </w:rPr>
        <w:t>concluded that, whilst the representation needed to have operated on the claimant’s mind, that did not require conscious awareness of it</w:t>
      </w:r>
      <w:r w:rsidR="006F33C4" w:rsidRPr="00D77403">
        <w:rPr>
          <w:szCs w:val="24"/>
        </w:rPr>
        <w:t>.  He said</w:t>
      </w:r>
      <w:r w:rsidR="0060215D" w:rsidRPr="00D77403">
        <w:rPr>
          <w:szCs w:val="24"/>
        </w:rPr>
        <w:t>:-</w:t>
      </w:r>
    </w:p>
    <w:p w14:paraId="2C7BCCEC" w14:textId="77777777" w:rsidR="000513BC" w:rsidRPr="00D77403" w:rsidRDefault="0060215D" w:rsidP="0060215D">
      <w:pPr>
        <w:pStyle w:val="quote0"/>
        <w:rPr>
          <w:szCs w:val="24"/>
        </w:rPr>
      </w:pPr>
      <w:r w:rsidRPr="00D77403">
        <w:rPr>
          <w:szCs w:val="24"/>
        </w:rPr>
        <w:t>“</w:t>
      </w:r>
      <w:r w:rsidR="000513BC" w:rsidRPr="00D77403">
        <w:rPr>
          <w:szCs w:val="24"/>
        </w:rPr>
        <w:t xml:space="preserve">161.  There is no doubt that reliance or inducement is an essential element of a claim for deceit (or other claim for damages for misrepresentation). There are two aspects to the requirement. The first is that the representation must have deceived the claimant (C) by causing C to hold a false belief (“reliance in belief”). The second is that C must because of holding that false belief have acted so as to suffer loss (“reliance in action”). Both aspects of reliance require the representation to </w:t>
      </w:r>
      <w:r w:rsidR="000513BC" w:rsidRPr="00D77403">
        <w:rPr>
          <w:szCs w:val="24"/>
        </w:rPr>
        <w:lastRenderedPageBreak/>
        <w:t>operate on the mind of C. But neither logically requires C to be consciously aware of the representation at the time when C acts on it. Nor is there any good reason to insist on such an additional requirement.</w:t>
      </w:r>
    </w:p>
    <w:p w14:paraId="16841AB0" w14:textId="49F3E3ED" w:rsidR="0060215D" w:rsidRPr="00D77403" w:rsidRDefault="00B3624D" w:rsidP="0060215D">
      <w:pPr>
        <w:pStyle w:val="quote0"/>
        <w:rPr>
          <w:szCs w:val="24"/>
        </w:rPr>
      </w:pPr>
      <w:r w:rsidRPr="00D77403">
        <w:rPr>
          <w:szCs w:val="24"/>
        </w:rPr>
        <w:t>162.  It is an everyday feature of human experience that people form and act on beliefs without any conscious awareness or thought. If someone takes advantage of such unconscious mental processes to deceive another person and cause her to act to her detriment, there is no reason why a claim for damages should not lie. The mischief is no less than in a case involving conscious awareness.</w:t>
      </w:r>
      <w:r w:rsidR="0060215D" w:rsidRPr="00D77403">
        <w:rPr>
          <w:szCs w:val="24"/>
        </w:rPr>
        <w:t>”</w:t>
      </w:r>
    </w:p>
    <w:p w14:paraId="242B9343" w14:textId="1C7B86ED" w:rsidR="0060215D" w:rsidRPr="00D77403" w:rsidRDefault="00B3624D" w:rsidP="00B3624D">
      <w:pPr>
        <w:pStyle w:val="level1"/>
        <w:numPr>
          <w:ilvl w:val="0"/>
          <w:numId w:val="0"/>
        </w:numPr>
        <w:ind w:left="720"/>
        <w:rPr>
          <w:szCs w:val="24"/>
        </w:rPr>
      </w:pPr>
      <w:r w:rsidRPr="00D77403">
        <w:rPr>
          <w:szCs w:val="24"/>
        </w:rPr>
        <w:t>A</w:t>
      </w:r>
      <w:r w:rsidR="000513BC" w:rsidRPr="00D77403">
        <w:rPr>
          <w:szCs w:val="24"/>
        </w:rPr>
        <w:t xml:space="preserve"> little later</w:t>
      </w:r>
      <w:r w:rsidRPr="00D77403">
        <w:rPr>
          <w:szCs w:val="24"/>
        </w:rPr>
        <w:t>, returning to the restaurant example, Lord Leggatt said this:-</w:t>
      </w:r>
    </w:p>
    <w:p w14:paraId="5FB86806" w14:textId="4BE376E1" w:rsidR="007F2E85" w:rsidRPr="00D77403" w:rsidRDefault="00B3624D" w:rsidP="007F2E85">
      <w:pPr>
        <w:pStyle w:val="quote0"/>
        <w:rPr>
          <w:szCs w:val="24"/>
        </w:rPr>
      </w:pPr>
      <w:r w:rsidRPr="00D77403">
        <w:rPr>
          <w:szCs w:val="24"/>
        </w:rPr>
        <w:t>“</w:t>
      </w:r>
      <w:r w:rsidR="007F2E85" w:rsidRPr="00D77403">
        <w:rPr>
          <w:szCs w:val="24"/>
        </w:rPr>
        <w:t xml:space="preserve">174.  As well as the notion that reliance on a representation is never possible without conscious awareness, another misconception apparent in the judgments in </w:t>
      </w:r>
      <w:r w:rsidR="007F2E85" w:rsidRPr="00D77403">
        <w:rPr>
          <w:i/>
          <w:iCs/>
          <w:szCs w:val="24"/>
        </w:rPr>
        <w:t>Marme</w:t>
      </w:r>
      <w:r w:rsidR="007F2E85" w:rsidRPr="00D77403">
        <w:rPr>
          <w:szCs w:val="24"/>
        </w:rPr>
        <w:t xml:space="preserve">, </w:t>
      </w:r>
      <w:r w:rsidR="007F2E85" w:rsidRPr="00D77403">
        <w:rPr>
          <w:i/>
          <w:iCs/>
          <w:szCs w:val="24"/>
        </w:rPr>
        <w:t>Leeds</w:t>
      </w:r>
      <w:r w:rsidR="007F2E85" w:rsidRPr="00D77403">
        <w:rPr>
          <w:szCs w:val="24"/>
        </w:rPr>
        <w:t xml:space="preserve"> and </w:t>
      </w:r>
      <w:r w:rsidR="007F2E85" w:rsidRPr="00D77403">
        <w:rPr>
          <w:i/>
          <w:iCs/>
          <w:szCs w:val="24"/>
        </w:rPr>
        <w:t>Loreley</w:t>
      </w:r>
      <w:r w:rsidR="007F2E85" w:rsidRPr="00D77403">
        <w:rPr>
          <w:szCs w:val="24"/>
        </w:rPr>
        <w:t xml:space="preserve"> is that a distinction needs to be drawn between cases where the claimant has relied on a representation and cases where the claimant has acted on an assumption. The idea is that, if the claimant has acted on an assumption, it cannot be said that the defendant’s representation caused the claimant to hold a false belief. The source of the error must lie with the claimant.</w:t>
      </w:r>
    </w:p>
    <w:p w14:paraId="5F1AEE1B" w14:textId="5520B80B" w:rsidR="007F2E85" w:rsidRPr="00D77403" w:rsidRDefault="007F2E85" w:rsidP="007F2E85">
      <w:pPr>
        <w:pStyle w:val="quote0"/>
        <w:rPr>
          <w:szCs w:val="24"/>
        </w:rPr>
      </w:pPr>
      <w:r w:rsidRPr="00D77403">
        <w:rPr>
          <w:szCs w:val="24"/>
        </w:rPr>
        <w:t>175.  Yet this is a false dichotomy. The categories of representation and assumption are not mutually exclusive. It is possible, and indeed common, for a person to act on the basis of an unconscious assumption and in reliance on a representation. The waiter who brings food to the table assumes without thinking that the diners who ordered the food intend to pay for it. But that belief has been caused by the conduct of the diners when they sat down at the table and placed their order. One way of describing such situations is to say that they involve exploiting an unconscious assumption of the claimant. A defendant who speaks or acts with the intention of causing the claimant to make and act on an erroneous assumption so as to suffer loss is just as much liable for deceit as a defendant who brings about that result by operating on the conscious mind of the claimant.</w:t>
      </w:r>
    </w:p>
    <w:p w14:paraId="52A7B03E" w14:textId="272D702E" w:rsidR="00B3624D" w:rsidRPr="00D77403" w:rsidRDefault="007F2E85" w:rsidP="007F2E85">
      <w:pPr>
        <w:pStyle w:val="quote0"/>
        <w:rPr>
          <w:szCs w:val="24"/>
        </w:rPr>
      </w:pPr>
      <w:r w:rsidRPr="00D77403">
        <w:rPr>
          <w:szCs w:val="24"/>
        </w:rPr>
        <w:t>176.  What matters is whether, in a case where the claimant has acted on an assumption, the assumption was one which the claimant would naturally be expected to make in response to the defendant’s words or actions or whether it was one made independently by the claimant. If the claimant has acted as a result of an erroneous belief not caused by the defendant, the defendant will not be liable.</w:t>
      </w:r>
      <w:r w:rsidR="00B3624D" w:rsidRPr="00D77403">
        <w:rPr>
          <w:szCs w:val="24"/>
        </w:rPr>
        <w:t>”</w:t>
      </w:r>
    </w:p>
    <w:p w14:paraId="71C7F841" w14:textId="460C6218" w:rsidR="007F2E85" w:rsidRPr="00D77403" w:rsidRDefault="00277735" w:rsidP="00990D43">
      <w:pPr>
        <w:pStyle w:val="level1"/>
        <w:rPr>
          <w:szCs w:val="24"/>
        </w:rPr>
      </w:pPr>
      <w:r w:rsidRPr="00D77403">
        <w:rPr>
          <w:szCs w:val="24"/>
        </w:rPr>
        <w:t>Let us</w:t>
      </w:r>
      <w:r w:rsidR="000A1F52" w:rsidRPr="00D77403">
        <w:rPr>
          <w:szCs w:val="24"/>
        </w:rPr>
        <w:t xml:space="preserve"> return briefly to the</w:t>
      </w:r>
      <w:r w:rsidR="005643F7" w:rsidRPr="00D77403">
        <w:rPr>
          <w:szCs w:val="24"/>
        </w:rPr>
        <w:t xml:space="preserve"> reliance</w:t>
      </w:r>
      <w:r w:rsidR="000A1F52" w:rsidRPr="00D77403">
        <w:rPr>
          <w:szCs w:val="24"/>
        </w:rPr>
        <w:t xml:space="preserve"> issue in the </w:t>
      </w:r>
      <w:r w:rsidR="000A1F52" w:rsidRPr="00D77403">
        <w:rPr>
          <w:i/>
          <w:iCs/>
          <w:szCs w:val="24"/>
        </w:rPr>
        <w:t xml:space="preserve">San Marino </w:t>
      </w:r>
      <w:r w:rsidR="000A1F52" w:rsidRPr="00D77403">
        <w:rPr>
          <w:szCs w:val="24"/>
        </w:rPr>
        <w:t>case (</w:t>
      </w:r>
      <w:r w:rsidR="000A1F52" w:rsidRPr="00D77403">
        <w:rPr>
          <w:i/>
          <w:iCs/>
          <w:szCs w:val="24"/>
        </w:rPr>
        <w:t>CRSM</w:t>
      </w:r>
      <w:r w:rsidR="000A1F52" w:rsidRPr="00D77403">
        <w:rPr>
          <w:szCs w:val="24"/>
        </w:rPr>
        <w:t xml:space="preserve">), </w:t>
      </w:r>
      <w:r w:rsidR="00794E85" w:rsidRPr="00D77403">
        <w:rPr>
          <w:szCs w:val="24"/>
        </w:rPr>
        <w:t xml:space="preserve">and assume for a moment that </w:t>
      </w:r>
      <w:r w:rsidR="00BF5C83" w:rsidRPr="00D77403">
        <w:rPr>
          <w:szCs w:val="24"/>
        </w:rPr>
        <w:t xml:space="preserve">Barclays’ presentation of the CDO-linked Notes as </w:t>
      </w:r>
      <w:r w:rsidR="00BF5C83" w:rsidRPr="00D77403">
        <w:rPr>
          <w:szCs w:val="24"/>
        </w:rPr>
        <w:lastRenderedPageBreak/>
        <w:t xml:space="preserve">AAA rated included an </w:t>
      </w:r>
      <w:r w:rsidR="00483467" w:rsidRPr="00D77403">
        <w:rPr>
          <w:szCs w:val="24"/>
        </w:rPr>
        <w:t xml:space="preserve">untrue implied representation that nothing had been done to </w:t>
      </w:r>
      <w:r w:rsidR="00044F79" w:rsidRPr="00D77403">
        <w:rPr>
          <w:szCs w:val="24"/>
        </w:rPr>
        <w:t xml:space="preserve">make them significantly riskier than one would expect a AAA-rated investment to be.  </w:t>
      </w:r>
      <w:r w:rsidR="00EB61DF" w:rsidRPr="00D77403">
        <w:rPr>
          <w:szCs w:val="24"/>
        </w:rPr>
        <w:t xml:space="preserve">Following the Privy Council’s decision, it would be arguable that that implied representation induced CRSM to </w:t>
      </w:r>
      <w:r w:rsidR="00697135" w:rsidRPr="00D77403">
        <w:rPr>
          <w:szCs w:val="24"/>
        </w:rPr>
        <w:t xml:space="preserve">buy the Notes, whose AAA rating it regarded as the vital factor, even though it was not consciously aware of the implied representation. </w:t>
      </w:r>
      <w:r w:rsidR="00D81050" w:rsidRPr="00D77403">
        <w:rPr>
          <w:szCs w:val="24"/>
        </w:rPr>
        <w:t xml:space="preserve"> </w:t>
      </w:r>
      <w:r w:rsidR="00983F0B" w:rsidRPr="00D77403">
        <w:rPr>
          <w:szCs w:val="24"/>
        </w:rPr>
        <w:t xml:space="preserve">Barclays would have </w:t>
      </w:r>
      <w:r w:rsidR="003D0984" w:rsidRPr="00D77403">
        <w:rPr>
          <w:szCs w:val="24"/>
        </w:rPr>
        <w:t xml:space="preserve">caused it to act on </w:t>
      </w:r>
      <w:r w:rsidR="00CE20A5" w:rsidRPr="00D77403">
        <w:rPr>
          <w:szCs w:val="24"/>
        </w:rPr>
        <w:t xml:space="preserve">an erroneous assumption that the AAA rating implied low risks, that assumption being one which, on CRSM’s case, Barclays knew was false and indeed had itself rendered false by adverse selection of the reference portfolio.  </w:t>
      </w:r>
      <w:r w:rsidR="00B04730" w:rsidRPr="00D77403">
        <w:rPr>
          <w:szCs w:val="24"/>
        </w:rPr>
        <w:t>(</w:t>
      </w:r>
      <w:r w:rsidR="00CE20A5" w:rsidRPr="00D77403">
        <w:rPr>
          <w:szCs w:val="24"/>
        </w:rPr>
        <w:t>I should make clear that</w:t>
      </w:r>
      <w:r w:rsidR="00B04730" w:rsidRPr="00D77403">
        <w:rPr>
          <w:szCs w:val="24"/>
        </w:rPr>
        <w:t xml:space="preserve"> </w:t>
      </w:r>
      <w:r w:rsidR="00CE20A5" w:rsidRPr="00D77403">
        <w:rPr>
          <w:szCs w:val="24"/>
        </w:rPr>
        <w:t>the judge</w:t>
      </w:r>
      <w:r w:rsidR="00B04730" w:rsidRPr="00D77403">
        <w:rPr>
          <w:szCs w:val="24"/>
        </w:rPr>
        <w:t xml:space="preserve"> held that </w:t>
      </w:r>
      <w:r w:rsidR="00CE20A5" w:rsidRPr="00D77403">
        <w:rPr>
          <w:szCs w:val="24"/>
        </w:rPr>
        <w:t xml:space="preserve">Barclays did not </w:t>
      </w:r>
      <w:r w:rsidR="00B04730" w:rsidRPr="00D77403">
        <w:rPr>
          <w:szCs w:val="24"/>
        </w:rPr>
        <w:t xml:space="preserve">in fact </w:t>
      </w:r>
      <w:r w:rsidR="00CE20A5" w:rsidRPr="00D77403">
        <w:rPr>
          <w:szCs w:val="24"/>
        </w:rPr>
        <w:t xml:space="preserve">make any false </w:t>
      </w:r>
      <w:r w:rsidR="00B04730" w:rsidRPr="00D77403">
        <w:rPr>
          <w:szCs w:val="24"/>
        </w:rPr>
        <w:t xml:space="preserve">or deceitful </w:t>
      </w:r>
      <w:r w:rsidR="00CE20A5" w:rsidRPr="00D77403">
        <w:rPr>
          <w:szCs w:val="24"/>
        </w:rPr>
        <w:t xml:space="preserve">representation, but for present purposes it is the reliance issue </w:t>
      </w:r>
      <w:r w:rsidR="00B04730" w:rsidRPr="00D77403">
        <w:rPr>
          <w:szCs w:val="24"/>
        </w:rPr>
        <w:t xml:space="preserve">that is of interest.) </w:t>
      </w:r>
      <w:r w:rsidR="00CE20A5" w:rsidRPr="00D77403">
        <w:rPr>
          <w:szCs w:val="24"/>
        </w:rPr>
        <w:t xml:space="preserve"> </w:t>
      </w:r>
      <w:r w:rsidR="00D81050" w:rsidRPr="00D77403">
        <w:rPr>
          <w:szCs w:val="24"/>
        </w:rPr>
        <w:t>Similarly, the claimant</w:t>
      </w:r>
      <w:r w:rsidR="00071733" w:rsidRPr="00D77403">
        <w:rPr>
          <w:szCs w:val="24"/>
        </w:rPr>
        <w:t>s</w:t>
      </w:r>
      <w:r w:rsidR="00D81050" w:rsidRPr="00D77403">
        <w:rPr>
          <w:szCs w:val="24"/>
        </w:rPr>
        <w:t xml:space="preserve"> in </w:t>
      </w:r>
      <w:r w:rsidR="00071733" w:rsidRPr="00D77403">
        <w:rPr>
          <w:i/>
          <w:iCs/>
          <w:szCs w:val="24"/>
        </w:rPr>
        <w:t xml:space="preserve">Property Alliance Group </w:t>
      </w:r>
      <w:r w:rsidR="00071733" w:rsidRPr="00D77403">
        <w:rPr>
          <w:szCs w:val="24"/>
        </w:rPr>
        <w:t xml:space="preserve">and </w:t>
      </w:r>
      <w:r w:rsidR="00071733" w:rsidRPr="00D77403">
        <w:rPr>
          <w:i/>
          <w:iCs/>
          <w:szCs w:val="24"/>
        </w:rPr>
        <w:t>Leeds</w:t>
      </w:r>
      <w:r w:rsidR="00B04730" w:rsidRPr="00D77403">
        <w:rPr>
          <w:szCs w:val="24"/>
        </w:rPr>
        <w:t xml:space="preserve">, </w:t>
      </w:r>
      <w:r w:rsidR="00D75F11" w:rsidRPr="00D77403">
        <w:rPr>
          <w:szCs w:val="24"/>
        </w:rPr>
        <w:t xml:space="preserve">had they </w:t>
      </w:r>
      <w:r w:rsidR="00FA68BB" w:rsidRPr="00D77403">
        <w:rPr>
          <w:szCs w:val="24"/>
        </w:rPr>
        <w:t>shown</w:t>
      </w:r>
      <w:r w:rsidR="00D75F11" w:rsidRPr="00D77403">
        <w:rPr>
          <w:szCs w:val="24"/>
        </w:rPr>
        <w:t xml:space="preserve"> </w:t>
      </w:r>
      <w:r w:rsidR="00FA68BB" w:rsidRPr="00D77403">
        <w:rPr>
          <w:szCs w:val="24"/>
        </w:rPr>
        <w:t>knowingly false implied misrepresentations to have been made</w:t>
      </w:r>
      <w:r w:rsidR="00B04730" w:rsidRPr="00D77403">
        <w:rPr>
          <w:szCs w:val="24"/>
        </w:rPr>
        <w:t xml:space="preserve">, </w:t>
      </w:r>
      <w:r w:rsidR="00FA68BB" w:rsidRPr="00D77403">
        <w:rPr>
          <w:szCs w:val="24"/>
        </w:rPr>
        <w:t xml:space="preserve">may then </w:t>
      </w:r>
      <w:r w:rsidR="00CD296C" w:rsidRPr="00D77403">
        <w:rPr>
          <w:szCs w:val="24"/>
        </w:rPr>
        <w:t>have had cogent arguments that th</w:t>
      </w:r>
      <w:r w:rsidR="00FA68BB" w:rsidRPr="00D77403">
        <w:rPr>
          <w:szCs w:val="24"/>
        </w:rPr>
        <w:t>ose</w:t>
      </w:r>
      <w:r w:rsidR="00CD296C" w:rsidRPr="00D77403">
        <w:rPr>
          <w:szCs w:val="24"/>
        </w:rPr>
        <w:t xml:space="preserve"> </w:t>
      </w:r>
      <w:r w:rsidR="00FA68BB" w:rsidRPr="00D77403">
        <w:rPr>
          <w:szCs w:val="24"/>
        </w:rPr>
        <w:t>mis</w:t>
      </w:r>
      <w:r w:rsidR="00A675FB" w:rsidRPr="00D77403">
        <w:rPr>
          <w:szCs w:val="24"/>
        </w:rPr>
        <w:t xml:space="preserve">representations had induced them to invest, naturally assuming LIBOR to be free of manipulation by the </w:t>
      </w:r>
      <w:r w:rsidR="00FA68BB" w:rsidRPr="00D77403">
        <w:rPr>
          <w:szCs w:val="24"/>
        </w:rPr>
        <w:t>bank with whom they contracted.</w:t>
      </w:r>
    </w:p>
    <w:p w14:paraId="5193D050" w14:textId="69298186" w:rsidR="007F2E85" w:rsidRPr="00D77403" w:rsidRDefault="00A0375B" w:rsidP="000B4D85">
      <w:pPr>
        <w:pStyle w:val="level1"/>
        <w:rPr>
          <w:szCs w:val="24"/>
        </w:rPr>
      </w:pPr>
      <w:r w:rsidRPr="00D77403">
        <w:rPr>
          <w:szCs w:val="24"/>
        </w:rPr>
        <w:t xml:space="preserve">The decision in </w:t>
      </w:r>
      <w:r w:rsidRPr="00D77403">
        <w:rPr>
          <w:i/>
          <w:iCs/>
          <w:szCs w:val="24"/>
        </w:rPr>
        <w:t xml:space="preserve">Credit Suisse (Bermuda) </w:t>
      </w:r>
      <w:r w:rsidRPr="00D77403">
        <w:rPr>
          <w:szCs w:val="24"/>
        </w:rPr>
        <w:t xml:space="preserve">may also be significant in cases where investors allege </w:t>
      </w:r>
      <w:r w:rsidR="009364B9" w:rsidRPr="00D77403">
        <w:rPr>
          <w:szCs w:val="24"/>
        </w:rPr>
        <w:t>th</w:t>
      </w:r>
      <w:r w:rsidR="00DE0521" w:rsidRPr="00D77403">
        <w:rPr>
          <w:szCs w:val="24"/>
        </w:rPr>
        <w:t xml:space="preserve">at published information about a company has contained misleading statements or omissions.  In </w:t>
      </w:r>
      <w:r w:rsidR="00DE0521" w:rsidRPr="00D77403">
        <w:rPr>
          <w:i/>
          <w:iCs/>
          <w:szCs w:val="24"/>
        </w:rPr>
        <w:t>Allianz Funds Multi-Strategy Trust v Barclays PLC</w:t>
      </w:r>
      <w:r w:rsidR="00F9237F" w:rsidRPr="00D77403">
        <w:rPr>
          <w:i/>
          <w:iCs/>
          <w:szCs w:val="24"/>
        </w:rPr>
        <w:t xml:space="preserve"> </w:t>
      </w:r>
      <w:r w:rsidR="00F9237F" w:rsidRPr="00D77403">
        <w:rPr>
          <w:szCs w:val="24"/>
        </w:rPr>
        <w:t>[2024] EWHC 2710 (Ch)</w:t>
      </w:r>
      <w:r w:rsidR="00DE0521" w:rsidRPr="00D77403">
        <w:rPr>
          <w:szCs w:val="24"/>
        </w:rPr>
        <w:t xml:space="preserve">, </w:t>
      </w:r>
      <w:r w:rsidR="00DD7191" w:rsidRPr="00D77403">
        <w:rPr>
          <w:szCs w:val="24"/>
        </w:rPr>
        <w:t xml:space="preserve">the bank settled a complaint </w:t>
      </w:r>
      <w:r w:rsidR="004829BF" w:rsidRPr="00D77403">
        <w:rPr>
          <w:szCs w:val="24"/>
        </w:rPr>
        <w:t>brought in the New York state courts relating to so-called ‘dark pool’ trading facilities</w:t>
      </w:r>
      <w:r w:rsidR="002D1165" w:rsidRPr="00D77403">
        <w:rPr>
          <w:szCs w:val="24"/>
        </w:rPr>
        <w:t xml:space="preserve"> </w:t>
      </w:r>
      <w:r w:rsidR="007709AB" w:rsidRPr="00D77403">
        <w:rPr>
          <w:szCs w:val="24"/>
        </w:rPr>
        <w:t>in the bank’s Equities Electronic Trading Division</w:t>
      </w:r>
      <w:r w:rsidR="004829BF" w:rsidRPr="00D77403">
        <w:rPr>
          <w:szCs w:val="24"/>
        </w:rPr>
        <w:t>.</w:t>
      </w:r>
      <w:r w:rsidR="007709AB" w:rsidRPr="00D77403">
        <w:rPr>
          <w:szCs w:val="24"/>
        </w:rPr>
        <w:t xml:space="preserve">  </w:t>
      </w:r>
      <w:r w:rsidR="00A7628D" w:rsidRPr="00D77403">
        <w:rPr>
          <w:szCs w:val="24"/>
        </w:rPr>
        <w:t>The bank’s share price dropped within a month of the settlement.  Shareholders in the bank sued in England claiming that the bank had made false representations to the public, clients and market participants about the operation of the pool</w:t>
      </w:r>
      <w:r w:rsidR="00CD6E4F" w:rsidRPr="00D77403">
        <w:rPr>
          <w:szCs w:val="24"/>
        </w:rPr>
        <w:t xml:space="preserve">, giving rise to liability under </w:t>
      </w:r>
      <w:r w:rsidR="00697965" w:rsidRPr="00D77403">
        <w:rPr>
          <w:szCs w:val="24"/>
        </w:rPr>
        <w:t>section 90A and Schedule 10A of the Financial Services and Markets 2000</w:t>
      </w:r>
      <w:r w:rsidR="004C0A64" w:rsidRPr="00D77403">
        <w:rPr>
          <w:szCs w:val="24"/>
        </w:rPr>
        <w:t xml:space="preserve">.  Those provisions </w:t>
      </w:r>
      <w:r w:rsidR="003C2557" w:rsidRPr="00D77403">
        <w:rPr>
          <w:szCs w:val="24"/>
        </w:rPr>
        <w:t>make issuers liable to compensate persons who have suffered loss as a result of a misleading statement or dishonest omission in certain published information relation to the issuer’s securities, or a dishonest delay in publishing such information</w:t>
      </w:r>
      <w:r w:rsidR="00777772" w:rsidRPr="00D77403">
        <w:rPr>
          <w:szCs w:val="24"/>
        </w:rPr>
        <w:t xml:space="preserve">.  Compensation is payable only to a person who </w:t>
      </w:r>
      <w:r w:rsidR="000B4D85" w:rsidRPr="00D77403">
        <w:rPr>
          <w:szCs w:val="24"/>
        </w:rPr>
        <w:t xml:space="preserve">acquires, continues to hold or disposes of the securities in </w:t>
      </w:r>
      <w:r w:rsidR="000B4D85" w:rsidRPr="00D77403">
        <w:rPr>
          <w:szCs w:val="24"/>
          <w:u w:val="single"/>
        </w:rPr>
        <w:t>reliance</w:t>
      </w:r>
      <w:r w:rsidR="000B4D85" w:rsidRPr="00D77403">
        <w:rPr>
          <w:szCs w:val="24"/>
        </w:rPr>
        <w:t xml:space="preserve"> on published information.</w:t>
      </w:r>
      <w:r w:rsidR="003C2557" w:rsidRPr="00D77403">
        <w:rPr>
          <w:szCs w:val="24"/>
        </w:rPr>
        <w:t xml:space="preserve">  </w:t>
      </w:r>
    </w:p>
    <w:p w14:paraId="7FA8E852" w14:textId="354EE6D0" w:rsidR="007F2E85" w:rsidRPr="00D77403" w:rsidRDefault="001A71FC" w:rsidP="001A71FC">
      <w:pPr>
        <w:pStyle w:val="level1"/>
        <w:rPr>
          <w:szCs w:val="24"/>
        </w:rPr>
      </w:pPr>
      <w:r w:rsidRPr="00D77403">
        <w:rPr>
          <w:szCs w:val="24"/>
        </w:rPr>
        <w:lastRenderedPageBreak/>
        <w:t>The claimants claimed to have purchased and/or continued to hold shares in reliance on the bank's published information and suffered loss and damage as a result.  They identified three categories of claimant: category A was those who had read and relied on the published information directly, category B was those who had relied on it indirectly through other sources, and category C consisted of claimants who alleged that they had indirectly relied on the published information because it was reflected in the bank's share price on the London Stock Exchange.</w:t>
      </w:r>
    </w:p>
    <w:p w14:paraId="33B05519" w14:textId="7CF23E4C" w:rsidR="001A71FC" w:rsidRPr="00D77403" w:rsidRDefault="008530F5" w:rsidP="001A71FC">
      <w:pPr>
        <w:pStyle w:val="level1"/>
        <w:rPr>
          <w:szCs w:val="24"/>
        </w:rPr>
      </w:pPr>
      <w:r w:rsidRPr="00D77403">
        <w:rPr>
          <w:szCs w:val="24"/>
        </w:rPr>
        <w:t>The court struck out the category C claims on the basis that</w:t>
      </w:r>
      <w:r w:rsidR="00B728D1" w:rsidRPr="00D77403">
        <w:rPr>
          <w:szCs w:val="24"/>
        </w:rPr>
        <w:t xml:space="preserve">, unlike section 90 of the Act, which concerns </w:t>
      </w:r>
      <w:r w:rsidR="001A2381" w:rsidRPr="00D77403">
        <w:rPr>
          <w:szCs w:val="24"/>
        </w:rPr>
        <w:t xml:space="preserve">statements in listing particulars or prospectuses, section 90A includes an express requirement of reliance. </w:t>
      </w:r>
      <w:r w:rsidR="00755F5C" w:rsidRPr="00D77403">
        <w:rPr>
          <w:szCs w:val="24"/>
        </w:rPr>
        <w:t xml:space="preserve"> </w:t>
      </w:r>
      <w:r w:rsidR="001A2381" w:rsidRPr="00D77403">
        <w:rPr>
          <w:szCs w:val="24"/>
        </w:rPr>
        <w:t xml:space="preserve">Parliament presumably </w:t>
      </w:r>
      <w:r w:rsidR="00C270F6" w:rsidRPr="00D77403">
        <w:rPr>
          <w:szCs w:val="24"/>
        </w:rPr>
        <w:t xml:space="preserve">intended thereby to </w:t>
      </w:r>
      <w:r w:rsidR="004D2A58" w:rsidRPr="00D77403">
        <w:rPr>
          <w:szCs w:val="24"/>
        </w:rPr>
        <w:t xml:space="preserve">adopt the common approach in deceit cases by requiring both causation and reliance to be shown.  </w:t>
      </w:r>
      <w:r w:rsidR="00755F5C" w:rsidRPr="00D77403">
        <w:rPr>
          <w:szCs w:val="24"/>
        </w:rPr>
        <w:t xml:space="preserve">Citing </w:t>
      </w:r>
      <w:r w:rsidR="000F1776" w:rsidRPr="00D77403">
        <w:rPr>
          <w:i/>
          <w:iCs/>
          <w:szCs w:val="24"/>
        </w:rPr>
        <w:t xml:space="preserve">Marme, Property Alliance Group, Leeds City Council </w:t>
      </w:r>
      <w:r w:rsidR="008278ED" w:rsidRPr="00D77403">
        <w:rPr>
          <w:szCs w:val="24"/>
        </w:rPr>
        <w:t xml:space="preserve">and </w:t>
      </w:r>
      <w:r w:rsidR="008278ED" w:rsidRPr="00D77403">
        <w:rPr>
          <w:i/>
          <w:iCs/>
          <w:szCs w:val="24"/>
        </w:rPr>
        <w:t>Lorel</w:t>
      </w:r>
      <w:r w:rsidR="00A828CE" w:rsidRPr="00D77403">
        <w:rPr>
          <w:i/>
          <w:iCs/>
          <w:szCs w:val="24"/>
        </w:rPr>
        <w:t>ey</w:t>
      </w:r>
      <w:r w:rsidR="00A828CE" w:rsidRPr="00D77403">
        <w:rPr>
          <w:szCs w:val="24"/>
        </w:rPr>
        <w:t xml:space="preserve">, among others, the judge </w:t>
      </w:r>
      <w:r w:rsidR="00191FD9" w:rsidRPr="00D77403">
        <w:rPr>
          <w:szCs w:val="24"/>
        </w:rPr>
        <w:t xml:space="preserve">held that the common law test of reliance required </w:t>
      </w:r>
      <w:r w:rsidR="006322F3" w:rsidRPr="00D77403">
        <w:rPr>
          <w:szCs w:val="24"/>
        </w:rPr>
        <w:t xml:space="preserve">the claimants to prove that they had read or considered the </w:t>
      </w:r>
      <w:r w:rsidR="00A907EA" w:rsidRPr="00D77403">
        <w:rPr>
          <w:szCs w:val="24"/>
        </w:rPr>
        <w:t>published information</w:t>
      </w:r>
      <w:r w:rsidR="006322F3" w:rsidRPr="00D77403">
        <w:rPr>
          <w:szCs w:val="24"/>
        </w:rPr>
        <w:t xml:space="preserve"> directly or having heard about it from a third party.  </w:t>
      </w:r>
      <w:r w:rsidR="00A907EA" w:rsidRPr="00D77403">
        <w:rPr>
          <w:szCs w:val="24"/>
        </w:rPr>
        <w:t>The category C claimants could not establish that.</w:t>
      </w:r>
    </w:p>
    <w:p w14:paraId="425728E7" w14:textId="693E5B6D" w:rsidR="00A907EA" w:rsidRPr="00D77403" w:rsidRDefault="00A907EA" w:rsidP="00D5687D">
      <w:pPr>
        <w:pStyle w:val="level1"/>
        <w:rPr>
          <w:szCs w:val="24"/>
        </w:rPr>
      </w:pPr>
      <w:r w:rsidRPr="00D77403">
        <w:rPr>
          <w:szCs w:val="24"/>
        </w:rPr>
        <w:t xml:space="preserve">A different approach was taken </w:t>
      </w:r>
      <w:r w:rsidR="00485027" w:rsidRPr="00D77403">
        <w:rPr>
          <w:szCs w:val="24"/>
        </w:rPr>
        <w:t xml:space="preserve">a few months later in </w:t>
      </w:r>
      <w:r w:rsidR="00485027" w:rsidRPr="00D77403">
        <w:rPr>
          <w:i/>
          <w:iCs/>
          <w:szCs w:val="24"/>
        </w:rPr>
        <w:t xml:space="preserve">Various Claimants v Standard Chartered Plc </w:t>
      </w:r>
      <w:r w:rsidR="00F9237F" w:rsidRPr="00D77403">
        <w:rPr>
          <w:szCs w:val="24"/>
        </w:rPr>
        <w:t xml:space="preserve">[2025] </w:t>
      </w:r>
      <w:r w:rsidR="00F4402A" w:rsidRPr="00D77403">
        <w:rPr>
          <w:szCs w:val="24"/>
        </w:rPr>
        <w:t>EWHC 698 (Ch), where the court refused to strike out or grant summary judgment in respect of claims by institutional investors that the defendant bank was liable under the same provisions of FSMA</w:t>
      </w:r>
      <w:r w:rsidR="007279BD" w:rsidRPr="00D77403">
        <w:rPr>
          <w:szCs w:val="24"/>
        </w:rPr>
        <w:t xml:space="preserve"> for untrue or misleading statements in and/or omissions from </w:t>
      </w:r>
      <w:r w:rsidR="00146B8F" w:rsidRPr="00D77403">
        <w:rPr>
          <w:szCs w:val="24"/>
        </w:rPr>
        <w:t xml:space="preserve">about 45 items of published information issued over a period of about 12 years.  </w:t>
      </w:r>
      <w:r w:rsidR="00D5687D" w:rsidRPr="00D77403">
        <w:rPr>
          <w:szCs w:val="24"/>
        </w:rPr>
        <w:t>In addition to "individual reliance claims" whereby each claimant was said to have read and relied on the relevant published information in some form, the claimants also pleaded "common reliance claims"</w:t>
      </w:r>
      <w:r w:rsidR="00E62153" w:rsidRPr="00D77403">
        <w:rPr>
          <w:szCs w:val="24"/>
        </w:rPr>
        <w:t>.</w:t>
      </w:r>
      <w:r w:rsidR="00D5687D" w:rsidRPr="00D77403">
        <w:rPr>
          <w:szCs w:val="24"/>
        </w:rPr>
        <w:t xml:space="preserve"> </w:t>
      </w:r>
      <w:r w:rsidR="00E62153" w:rsidRPr="00D77403">
        <w:rPr>
          <w:szCs w:val="24"/>
        </w:rPr>
        <w:t xml:space="preserve"> These were </w:t>
      </w:r>
      <w:r w:rsidR="00D5687D" w:rsidRPr="00D77403">
        <w:rPr>
          <w:szCs w:val="24"/>
        </w:rPr>
        <w:t>based on allegations that, even though the claimants did not specifically rely on the published information, they indirectly rel</w:t>
      </w:r>
      <w:r w:rsidR="008472EE" w:rsidRPr="00D77403">
        <w:rPr>
          <w:szCs w:val="24"/>
        </w:rPr>
        <w:t>ied</w:t>
      </w:r>
      <w:r w:rsidR="00D5687D" w:rsidRPr="00D77403">
        <w:rPr>
          <w:szCs w:val="24"/>
        </w:rPr>
        <w:t xml:space="preserve"> on it by reference to the price at which the defendant's shares traded in the market</w:t>
      </w:r>
      <w:r w:rsidR="008472EE" w:rsidRPr="00D77403">
        <w:rPr>
          <w:szCs w:val="24"/>
        </w:rPr>
        <w:t>,</w:t>
      </w:r>
      <w:r w:rsidR="00D5687D" w:rsidRPr="00D77403">
        <w:rPr>
          <w:szCs w:val="24"/>
        </w:rPr>
        <w:t xml:space="preserve"> which the claimants said was inflated as it reflected the false statements in the published information.  </w:t>
      </w:r>
      <w:r w:rsidR="00AF034A" w:rsidRPr="00D77403">
        <w:rPr>
          <w:szCs w:val="24"/>
        </w:rPr>
        <w:t xml:space="preserve">So the latter category </w:t>
      </w:r>
      <w:r w:rsidR="008472EE" w:rsidRPr="00D77403">
        <w:rPr>
          <w:szCs w:val="24"/>
        </w:rPr>
        <w:t>of</w:t>
      </w:r>
      <w:r w:rsidR="00AF034A" w:rsidRPr="00D77403">
        <w:rPr>
          <w:szCs w:val="24"/>
        </w:rPr>
        <w:t xml:space="preserve"> claims was like the category C claims in </w:t>
      </w:r>
      <w:r w:rsidR="00AF034A" w:rsidRPr="00D77403">
        <w:rPr>
          <w:i/>
          <w:iCs/>
          <w:szCs w:val="24"/>
        </w:rPr>
        <w:t>Allianz Funds Multi-Strategy Trust v Barclays Bank</w:t>
      </w:r>
      <w:r w:rsidR="00AF034A" w:rsidRPr="00D77403">
        <w:rPr>
          <w:szCs w:val="24"/>
        </w:rPr>
        <w:t xml:space="preserve">.  </w:t>
      </w:r>
    </w:p>
    <w:p w14:paraId="49ABC89F" w14:textId="0EEEEDD7" w:rsidR="00AF034A" w:rsidRPr="00D77403" w:rsidRDefault="008A3555" w:rsidP="00D5687D">
      <w:pPr>
        <w:pStyle w:val="level1"/>
        <w:rPr>
          <w:szCs w:val="24"/>
        </w:rPr>
      </w:pPr>
      <w:r w:rsidRPr="00D77403">
        <w:rPr>
          <w:szCs w:val="24"/>
        </w:rPr>
        <w:lastRenderedPageBreak/>
        <w:t xml:space="preserve">Rather like the court in </w:t>
      </w:r>
      <w:r w:rsidRPr="00D77403">
        <w:rPr>
          <w:i/>
          <w:iCs/>
          <w:szCs w:val="24"/>
        </w:rPr>
        <w:t>Crossley v Volkswagen</w:t>
      </w:r>
      <w:r w:rsidRPr="00D77403">
        <w:rPr>
          <w:szCs w:val="24"/>
        </w:rPr>
        <w:t xml:space="preserve">, the court took the view that the claims concerned a developing area of law, and that disputed legal questions should be resolved on the basis of actual facts established at trial.  There would in any event have to be a trial, because </w:t>
      </w:r>
      <w:r w:rsidR="00B84F2B" w:rsidRPr="00D77403">
        <w:rPr>
          <w:szCs w:val="24"/>
        </w:rPr>
        <w:t xml:space="preserve">there were some individual reliance claims, as well as claims under section 90 arising from </w:t>
      </w:r>
      <w:r w:rsidR="00D07C34" w:rsidRPr="00D77403">
        <w:rPr>
          <w:szCs w:val="24"/>
        </w:rPr>
        <w:t xml:space="preserve">three rights issue </w:t>
      </w:r>
      <w:r w:rsidR="00B84F2B" w:rsidRPr="00D77403">
        <w:rPr>
          <w:szCs w:val="24"/>
        </w:rPr>
        <w:t xml:space="preserve">prospectuses where reliance did not need to be shown.  </w:t>
      </w:r>
      <w:r w:rsidR="00DB73E0" w:rsidRPr="00D77403">
        <w:rPr>
          <w:szCs w:val="24"/>
        </w:rPr>
        <w:t xml:space="preserve">The judge took the view that, in order to take that course, he did not need to be convinced that </w:t>
      </w:r>
      <w:r w:rsidR="009A058F" w:rsidRPr="00D77403">
        <w:rPr>
          <w:szCs w:val="24"/>
        </w:rPr>
        <w:t xml:space="preserve">the </w:t>
      </w:r>
      <w:r w:rsidR="009A058F" w:rsidRPr="00D77403">
        <w:rPr>
          <w:i/>
          <w:iCs/>
          <w:szCs w:val="24"/>
        </w:rPr>
        <w:t xml:space="preserve">Allianz Funds </w:t>
      </w:r>
      <w:r w:rsidR="009A058F" w:rsidRPr="00D77403">
        <w:rPr>
          <w:szCs w:val="24"/>
        </w:rPr>
        <w:t xml:space="preserve">case was wrong, because he was not deciding the issue: he was merely deferring the position to trial </w:t>
      </w:r>
      <w:r w:rsidR="00323768" w:rsidRPr="00D77403">
        <w:rPr>
          <w:szCs w:val="24"/>
        </w:rPr>
        <w:t>as a matter of case management and in the light of his uncertainty as to the correct answer to the legal question raised.</w:t>
      </w:r>
    </w:p>
    <w:p w14:paraId="1685DE33" w14:textId="26DDAABE" w:rsidR="00323768" w:rsidRPr="00D77403" w:rsidRDefault="00BB7897" w:rsidP="00D5687D">
      <w:pPr>
        <w:pStyle w:val="level1"/>
        <w:rPr>
          <w:szCs w:val="24"/>
        </w:rPr>
      </w:pPr>
      <w:r w:rsidRPr="00D77403">
        <w:rPr>
          <w:szCs w:val="24"/>
        </w:rPr>
        <w:t xml:space="preserve">Clearly very careful consideration will need to be given </w:t>
      </w:r>
      <w:r w:rsidR="008472EE" w:rsidRPr="00D77403">
        <w:rPr>
          <w:szCs w:val="24"/>
        </w:rPr>
        <w:t xml:space="preserve">in due course </w:t>
      </w:r>
      <w:r w:rsidRPr="00D77403">
        <w:rPr>
          <w:szCs w:val="24"/>
        </w:rPr>
        <w:t xml:space="preserve">to the effect of </w:t>
      </w:r>
      <w:r w:rsidR="00A03C62" w:rsidRPr="00D77403">
        <w:rPr>
          <w:szCs w:val="24"/>
        </w:rPr>
        <w:t xml:space="preserve">the Privy Council’s decision in </w:t>
      </w:r>
      <w:r w:rsidR="00A03C62" w:rsidRPr="00D77403">
        <w:rPr>
          <w:i/>
          <w:iCs/>
          <w:szCs w:val="24"/>
        </w:rPr>
        <w:t xml:space="preserve">Credit Suisse </w:t>
      </w:r>
      <w:r w:rsidR="00366070" w:rsidRPr="00D77403">
        <w:rPr>
          <w:i/>
          <w:iCs/>
          <w:szCs w:val="24"/>
        </w:rPr>
        <w:t xml:space="preserve">Life </w:t>
      </w:r>
      <w:r w:rsidR="00A03C62" w:rsidRPr="00D77403">
        <w:rPr>
          <w:i/>
          <w:iCs/>
          <w:szCs w:val="24"/>
        </w:rPr>
        <w:t>(Bermuda)</w:t>
      </w:r>
      <w:r w:rsidR="006C5CD1" w:rsidRPr="00D77403">
        <w:rPr>
          <w:i/>
          <w:iCs/>
          <w:szCs w:val="24"/>
        </w:rPr>
        <w:t xml:space="preserve">.  </w:t>
      </w:r>
      <w:r w:rsidR="00404C31" w:rsidRPr="00D77403">
        <w:rPr>
          <w:szCs w:val="24"/>
        </w:rPr>
        <w:t xml:space="preserve">First, it will need to be decided whether the reliance requirement in Schedule 10 § 3 to FSMA is the same as the common law test of reliance or inducement in the law of deceit.  </w:t>
      </w:r>
      <w:r w:rsidR="00C36DF3" w:rsidRPr="00D77403">
        <w:rPr>
          <w:szCs w:val="24"/>
        </w:rPr>
        <w:t xml:space="preserve">If so, then a second question will be whether the misleading statement or omission  can be said to have operated on the </w:t>
      </w:r>
      <w:r w:rsidR="001F66C4" w:rsidRPr="00D77403">
        <w:rPr>
          <w:szCs w:val="24"/>
        </w:rPr>
        <w:t xml:space="preserve">claimant’s minds in circumstances where they relied on it only in the sense of </w:t>
      </w:r>
      <w:r w:rsidR="00054C80" w:rsidRPr="00D77403">
        <w:rPr>
          <w:szCs w:val="24"/>
        </w:rPr>
        <w:t xml:space="preserve">having been induced to make an erroneous assumption </w:t>
      </w:r>
      <w:r w:rsidR="00333736" w:rsidRPr="00D77403">
        <w:rPr>
          <w:szCs w:val="24"/>
        </w:rPr>
        <w:t>that the market price was untainted to misleading public statements or omissions by the company whose shares they bought.  It will be interesting to see.</w:t>
      </w:r>
    </w:p>
    <w:p w14:paraId="4DB44251" w14:textId="2EAB60AF" w:rsidR="00FC236C" w:rsidRPr="00D77403" w:rsidRDefault="00FC236C" w:rsidP="00990D43">
      <w:pPr>
        <w:pStyle w:val="level1"/>
        <w:rPr>
          <w:szCs w:val="24"/>
        </w:rPr>
      </w:pPr>
      <w:r w:rsidRPr="00D77403">
        <w:rPr>
          <w:szCs w:val="24"/>
        </w:rPr>
        <w:t>Thank you for listening to me.</w:t>
      </w:r>
    </w:p>
    <w:p w14:paraId="499F6EF9" w14:textId="3A3FFB05" w:rsidR="00250B6F" w:rsidRPr="00D77403" w:rsidRDefault="00FC236C" w:rsidP="00FC236C">
      <w:pPr>
        <w:pStyle w:val="level1"/>
        <w:numPr>
          <w:ilvl w:val="0"/>
          <w:numId w:val="0"/>
        </w:numPr>
        <w:jc w:val="right"/>
        <w:rPr>
          <w:b/>
          <w:bCs/>
          <w:szCs w:val="24"/>
        </w:rPr>
      </w:pPr>
      <w:r w:rsidRPr="00D77403">
        <w:rPr>
          <w:b/>
          <w:bCs/>
          <w:szCs w:val="24"/>
        </w:rPr>
        <w:t>Mr Justice Henshaw</w:t>
      </w:r>
      <w:r w:rsidRPr="00D77403">
        <w:rPr>
          <w:b/>
          <w:bCs/>
          <w:szCs w:val="24"/>
        </w:rPr>
        <w:br/>
      </w:r>
      <w:r w:rsidR="00072504" w:rsidRPr="00D77403">
        <w:rPr>
          <w:b/>
          <w:bCs/>
          <w:szCs w:val="24"/>
        </w:rPr>
        <w:t>9</w:t>
      </w:r>
      <w:r w:rsidR="00F148DC" w:rsidRPr="00D77403">
        <w:rPr>
          <w:b/>
          <w:bCs/>
          <w:szCs w:val="24"/>
        </w:rPr>
        <w:t xml:space="preserve"> February 2026</w:t>
      </w:r>
    </w:p>
    <w:sectPr w:rsidR="00250B6F" w:rsidRPr="00D77403">
      <w:footerReference w:type="default" r:id="rId8"/>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5347" w14:textId="77777777" w:rsidR="00436784" w:rsidRDefault="00436784">
      <w:r>
        <w:separator/>
      </w:r>
    </w:p>
  </w:endnote>
  <w:endnote w:type="continuationSeparator" w:id="0">
    <w:p w14:paraId="7D167FEB" w14:textId="77777777" w:rsidR="00436784" w:rsidRDefault="004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F100" w14:textId="3083F0AD" w:rsidR="005E2342" w:rsidRDefault="005E2342">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D77AB8">
      <w:rPr>
        <w:rFonts w:ascii="Times New Roman" w:hAnsi="Times New Roman"/>
        <w:noProof/>
        <w:sz w:val="16"/>
      </w:rPr>
      <w:t>2</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ECB9" w14:textId="77777777" w:rsidR="00436784" w:rsidRDefault="00436784">
      <w:r>
        <w:separator/>
      </w:r>
    </w:p>
  </w:footnote>
  <w:footnote w:type="continuationSeparator" w:id="0">
    <w:p w14:paraId="59FDF087" w14:textId="77777777" w:rsidR="00436784" w:rsidRDefault="00436784">
      <w:r>
        <w:continuationSeparator/>
      </w:r>
    </w:p>
  </w:footnote>
  <w:footnote w:id="1">
    <w:p w14:paraId="5D4E076A" w14:textId="1C17FE5D" w:rsidR="003369F2" w:rsidRPr="00224516" w:rsidRDefault="003369F2">
      <w:pPr>
        <w:pStyle w:val="FootnoteText"/>
      </w:pPr>
      <w:r>
        <w:rPr>
          <w:rStyle w:val="FootnoteReference"/>
        </w:rPr>
        <w:footnoteRef/>
      </w:r>
      <w:r>
        <w:t xml:space="preserve"> The title of this talk </w:t>
      </w:r>
      <w:r w:rsidR="001670F2">
        <w:t xml:space="preserve">alludes to a Keynote Speech I gave to the Prime Finance Conference on 7 October 2024, entitled </w:t>
      </w:r>
      <w:r w:rsidR="00224516">
        <w:rPr>
          <w:i/>
          <w:iCs/>
        </w:rPr>
        <w:t>“The Elusive Representation”</w:t>
      </w:r>
      <w:r w:rsidR="00224516">
        <w:t xml:space="preserve">, which </w:t>
      </w:r>
      <w:r w:rsidR="00B078B5">
        <w:t>among other things aimed to summarise the law as it then stood in this area.</w:t>
      </w:r>
    </w:p>
  </w:footnote>
  <w:footnote w:id="2">
    <w:p w14:paraId="5267B38F" w14:textId="6F9536B5" w:rsidR="001A2E32" w:rsidRDefault="001A2E32">
      <w:pPr>
        <w:pStyle w:val="FootnoteText"/>
      </w:pPr>
      <w:r>
        <w:rPr>
          <w:rStyle w:val="FootnoteReference"/>
        </w:rPr>
        <w:footnoteRef/>
      </w:r>
      <w:r>
        <w:t xml:space="preserve"> </w:t>
      </w:r>
      <w:r w:rsidR="00F43A02">
        <w:t>I declare an interest in this case, in which I was junior counsel for the unsuccessful claimant, led by George Leggatt QC</w:t>
      </w:r>
      <w:r w:rsidR="003C01B7">
        <w:t xml:space="preserve"> (as he then was)</w:t>
      </w:r>
      <w:r w:rsidR="00E40E34">
        <w:t>, who also features later in this story</w:t>
      </w:r>
      <w:r w:rsidR="003C01B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15:restartNumberingAfterBreak="0">
    <w:nsid w:val="75D70B9F"/>
    <w:multiLevelType w:val="multilevel"/>
    <w:tmpl w:val="60C4ADCE"/>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317268080">
    <w:abstractNumId w:val="1"/>
  </w:num>
  <w:num w:numId="2" w16cid:durableId="802693748">
    <w:abstractNumId w:val="1"/>
  </w:num>
  <w:num w:numId="3" w16cid:durableId="617416248">
    <w:abstractNumId w:val="1"/>
  </w:num>
  <w:num w:numId="4" w16cid:durableId="1886983477">
    <w:abstractNumId w:val="1"/>
  </w:num>
  <w:num w:numId="5" w16cid:durableId="846481189">
    <w:abstractNumId w:val="1"/>
  </w:num>
  <w:num w:numId="6" w16cid:durableId="1623465169">
    <w:abstractNumId w:val="1"/>
  </w:num>
  <w:num w:numId="7" w16cid:durableId="1224411431">
    <w:abstractNumId w:val="1"/>
  </w:num>
  <w:num w:numId="8" w16cid:durableId="188492618">
    <w:abstractNumId w:val="1"/>
  </w:num>
  <w:num w:numId="9" w16cid:durableId="246767981">
    <w:abstractNumId w:val="1"/>
  </w:num>
  <w:num w:numId="10" w16cid:durableId="1258176004">
    <w:abstractNumId w:val="0"/>
  </w:num>
  <w:num w:numId="11" w16cid:durableId="184290435">
    <w:abstractNumId w:val="1"/>
  </w:num>
  <w:num w:numId="12" w16cid:durableId="449665849">
    <w:abstractNumId w:val="1"/>
  </w:num>
  <w:num w:numId="13" w16cid:durableId="200843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62"/>
    <w:rsid w:val="0000768C"/>
    <w:rsid w:val="00010273"/>
    <w:rsid w:val="00012F7D"/>
    <w:rsid w:val="00022E77"/>
    <w:rsid w:val="00023157"/>
    <w:rsid w:val="0003240C"/>
    <w:rsid w:val="00033402"/>
    <w:rsid w:val="000449AA"/>
    <w:rsid w:val="00044F79"/>
    <w:rsid w:val="00047A8B"/>
    <w:rsid w:val="00047EA0"/>
    <w:rsid w:val="000513BC"/>
    <w:rsid w:val="00054875"/>
    <w:rsid w:val="00054C80"/>
    <w:rsid w:val="00056031"/>
    <w:rsid w:val="000603F5"/>
    <w:rsid w:val="00060DDA"/>
    <w:rsid w:val="00062443"/>
    <w:rsid w:val="00063D92"/>
    <w:rsid w:val="000658A9"/>
    <w:rsid w:val="00066108"/>
    <w:rsid w:val="00071733"/>
    <w:rsid w:val="00072504"/>
    <w:rsid w:val="00073D2E"/>
    <w:rsid w:val="000756B8"/>
    <w:rsid w:val="00075FF7"/>
    <w:rsid w:val="0008215E"/>
    <w:rsid w:val="0008579E"/>
    <w:rsid w:val="00087710"/>
    <w:rsid w:val="00090F59"/>
    <w:rsid w:val="000A184C"/>
    <w:rsid w:val="000A1F52"/>
    <w:rsid w:val="000A2A37"/>
    <w:rsid w:val="000A2A92"/>
    <w:rsid w:val="000A2E6D"/>
    <w:rsid w:val="000A6825"/>
    <w:rsid w:val="000B0487"/>
    <w:rsid w:val="000B1D25"/>
    <w:rsid w:val="000B4D85"/>
    <w:rsid w:val="000C228A"/>
    <w:rsid w:val="000C6DDB"/>
    <w:rsid w:val="000C7A19"/>
    <w:rsid w:val="000D200D"/>
    <w:rsid w:val="000E3F58"/>
    <w:rsid w:val="000E54D2"/>
    <w:rsid w:val="000E5579"/>
    <w:rsid w:val="000E7F49"/>
    <w:rsid w:val="000F1776"/>
    <w:rsid w:val="000F4C32"/>
    <w:rsid w:val="000F70CC"/>
    <w:rsid w:val="0010285C"/>
    <w:rsid w:val="0010481D"/>
    <w:rsid w:val="001066F4"/>
    <w:rsid w:val="00114508"/>
    <w:rsid w:val="00114A72"/>
    <w:rsid w:val="00115DD7"/>
    <w:rsid w:val="00121504"/>
    <w:rsid w:val="00133307"/>
    <w:rsid w:val="001402C1"/>
    <w:rsid w:val="00141D08"/>
    <w:rsid w:val="00142AE0"/>
    <w:rsid w:val="00144911"/>
    <w:rsid w:val="00144C02"/>
    <w:rsid w:val="00144CC6"/>
    <w:rsid w:val="00145ABD"/>
    <w:rsid w:val="00146B8F"/>
    <w:rsid w:val="001529FF"/>
    <w:rsid w:val="00160727"/>
    <w:rsid w:val="00162280"/>
    <w:rsid w:val="001625F8"/>
    <w:rsid w:val="001644C3"/>
    <w:rsid w:val="001656AB"/>
    <w:rsid w:val="00165AB5"/>
    <w:rsid w:val="001670F2"/>
    <w:rsid w:val="0017013A"/>
    <w:rsid w:val="00172B61"/>
    <w:rsid w:val="0017388B"/>
    <w:rsid w:val="00181123"/>
    <w:rsid w:val="001839FF"/>
    <w:rsid w:val="00183D1C"/>
    <w:rsid w:val="0018752E"/>
    <w:rsid w:val="00191FD9"/>
    <w:rsid w:val="001944ED"/>
    <w:rsid w:val="001948A0"/>
    <w:rsid w:val="001977D5"/>
    <w:rsid w:val="00197A8C"/>
    <w:rsid w:val="001A128E"/>
    <w:rsid w:val="001A2381"/>
    <w:rsid w:val="001A2BA6"/>
    <w:rsid w:val="001A2E32"/>
    <w:rsid w:val="001A71FC"/>
    <w:rsid w:val="001B0556"/>
    <w:rsid w:val="001B0A13"/>
    <w:rsid w:val="001B70B5"/>
    <w:rsid w:val="001B7D5F"/>
    <w:rsid w:val="001C23DF"/>
    <w:rsid w:val="001C3DDB"/>
    <w:rsid w:val="001D70C1"/>
    <w:rsid w:val="001D7FFE"/>
    <w:rsid w:val="001E2B4D"/>
    <w:rsid w:val="001F5035"/>
    <w:rsid w:val="001F6064"/>
    <w:rsid w:val="001F66C4"/>
    <w:rsid w:val="0020600A"/>
    <w:rsid w:val="002124A6"/>
    <w:rsid w:val="00215DFB"/>
    <w:rsid w:val="0022234A"/>
    <w:rsid w:val="002226D5"/>
    <w:rsid w:val="00224516"/>
    <w:rsid w:val="002309CF"/>
    <w:rsid w:val="00233FC1"/>
    <w:rsid w:val="00242E3B"/>
    <w:rsid w:val="00242EC7"/>
    <w:rsid w:val="00250B6F"/>
    <w:rsid w:val="00252740"/>
    <w:rsid w:val="0025310D"/>
    <w:rsid w:val="00261C2C"/>
    <w:rsid w:val="00262B6A"/>
    <w:rsid w:val="002661F0"/>
    <w:rsid w:val="00271697"/>
    <w:rsid w:val="002734F1"/>
    <w:rsid w:val="00274265"/>
    <w:rsid w:val="00277735"/>
    <w:rsid w:val="002859BF"/>
    <w:rsid w:val="00294E47"/>
    <w:rsid w:val="00294E9F"/>
    <w:rsid w:val="002A454B"/>
    <w:rsid w:val="002A6059"/>
    <w:rsid w:val="002C406E"/>
    <w:rsid w:val="002C4874"/>
    <w:rsid w:val="002C53C0"/>
    <w:rsid w:val="002C6008"/>
    <w:rsid w:val="002C6839"/>
    <w:rsid w:val="002D1165"/>
    <w:rsid w:val="002D1EA8"/>
    <w:rsid w:val="002D3F95"/>
    <w:rsid w:val="002D4006"/>
    <w:rsid w:val="002D6F58"/>
    <w:rsid w:val="002E0384"/>
    <w:rsid w:val="002F0909"/>
    <w:rsid w:val="002F102A"/>
    <w:rsid w:val="002F6A77"/>
    <w:rsid w:val="00304BA7"/>
    <w:rsid w:val="00306F6C"/>
    <w:rsid w:val="00307233"/>
    <w:rsid w:val="00312D6E"/>
    <w:rsid w:val="00313074"/>
    <w:rsid w:val="003133F1"/>
    <w:rsid w:val="003150BB"/>
    <w:rsid w:val="00317E14"/>
    <w:rsid w:val="00322BC4"/>
    <w:rsid w:val="00323768"/>
    <w:rsid w:val="00324274"/>
    <w:rsid w:val="0032569E"/>
    <w:rsid w:val="003311E5"/>
    <w:rsid w:val="00332F75"/>
    <w:rsid w:val="00333736"/>
    <w:rsid w:val="00335575"/>
    <w:rsid w:val="003369F2"/>
    <w:rsid w:val="00337662"/>
    <w:rsid w:val="00337C2A"/>
    <w:rsid w:val="00337D44"/>
    <w:rsid w:val="003419BD"/>
    <w:rsid w:val="00343149"/>
    <w:rsid w:val="003438BB"/>
    <w:rsid w:val="0034491B"/>
    <w:rsid w:val="00350ECF"/>
    <w:rsid w:val="00355E39"/>
    <w:rsid w:val="003573C2"/>
    <w:rsid w:val="00361556"/>
    <w:rsid w:val="00361720"/>
    <w:rsid w:val="00364D2F"/>
    <w:rsid w:val="00366070"/>
    <w:rsid w:val="00366A3F"/>
    <w:rsid w:val="00371795"/>
    <w:rsid w:val="00380E2F"/>
    <w:rsid w:val="003835C0"/>
    <w:rsid w:val="003845F7"/>
    <w:rsid w:val="00387147"/>
    <w:rsid w:val="00387539"/>
    <w:rsid w:val="00387C8E"/>
    <w:rsid w:val="003A3BA9"/>
    <w:rsid w:val="003B7480"/>
    <w:rsid w:val="003C01B7"/>
    <w:rsid w:val="003C2557"/>
    <w:rsid w:val="003C2D5A"/>
    <w:rsid w:val="003C4D8D"/>
    <w:rsid w:val="003C7342"/>
    <w:rsid w:val="003D0984"/>
    <w:rsid w:val="003D0A77"/>
    <w:rsid w:val="003D4B33"/>
    <w:rsid w:val="003D68DF"/>
    <w:rsid w:val="003D74C3"/>
    <w:rsid w:val="003E424A"/>
    <w:rsid w:val="003F0F69"/>
    <w:rsid w:val="003F321A"/>
    <w:rsid w:val="003F3E1F"/>
    <w:rsid w:val="003F5E0C"/>
    <w:rsid w:val="003F7628"/>
    <w:rsid w:val="00402852"/>
    <w:rsid w:val="00404C31"/>
    <w:rsid w:val="00415661"/>
    <w:rsid w:val="004164C1"/>
    <w:rsid w:val="00417C71"/>
    <w:rsid w:val="00423CF9"/>
    <w:rsid w:val="00427870"/>
    <w:rsid w:val="0042794C"/>
    <w:rsid w:val="00434CC4"/>
    <w:rsid w:val="00436784"/>
    <w:rsid w:val="004504E0"/>
    <w:rsid w:val="0045285B"/>
    <w:rsid w:val="004530FD"/>
    <w:rsid w:val="00455025"/>
    <w:rsid w:val="00455F3E"/>
    <w:rsid w:val="004623FE"/>
    <w:rsid w:val="00470EF3"/>
    <w:rsid w:val="00481A52"/>
    <w:rsid w:val="004829BF"/>
    <w:rsid w:val="00483143"/>
    <w:rsid w:val="00483467"/>
    <w:rsid w:val="00484114"/>
    <w:rsid w:val="00484388"/>
    <w:rsid w:val="00485027"/>
    <w:rsid w:val="00486892"/>
    <w:rsid w:val="00490FF7"/>
    <w:rsid w:val="00491E89"/>
    <w:rsid w:val="00492498"/>
    <w:rsid w:val="00493337"/>
    <w:rsid w:val="004940EA"/>
    <w:rsid w:val="004A5898"/>
    <w:rsid w:val="004A6CF6"/>
    <w:rsid w:val="004B0197"/>
    <w:rsid w:val="004B21BE"/>
    <w:rsid w:val="004B3A0F"/>
    <w:rsid w:val="004B5534"/>
    <w:rsid w:val="004B71A7"/>
    <w:rsid w:val="004C0A64"/>
    <w:rsid w:val="004C6544"/>
    <w:rsid w:val="004C7C87"/>
    <w:rsid w:val="004D2A58"/>
    <w:rsid w:val="004D3E51"/>
    <w:rsid w:val="004D722D"/>
    <w:rsid w:val="004E045F"/>
    <w:rsid w:val="004E0C2E"/>
    <w:rsid w:val="004E3A43"/>
    <w:rsid w:val="004F0CD7"/>
    <w:rsid w:val="004F1355"/>
    <w:rsid w:val="004F6A50"/>
    <w:rsid w:val="004F7E4A"/>
    <w:rsid w:val="00504960"/>
    <w:rsid w:val="00505B8A"/>
    <w:rsid w:val="00505DBC"/>
    <w:rsid w:val="005150A0"/>
    <w:rsid w:val="00517B10"/>
    <w:rsid w:val="0052518F"/>
    <w:rsid w:val="00527990"/>
    <w:rsid w:val="00532457"/>
    <w:rsid w:val="00532B9D"/>
    <w:rsid w:val="00541069"/>
    <w:rsid w:val="00542AC6"/>
    <w:rsid w:val="00544267"/>
    <w:rsid w:val="00551154"/>
    <w:rsid w:val="0055195C"/>
    <w:rsid w:val="00553043"/>
    <w:rsid w:val="00555717"/>
    <w:rsid w:val="00557F24"/>
    <w:rsid w:val="005615E3"/>
    <w:rsid w:val="00561C97"/>
    <w:rsid w:val="00562303"/>
    <w:rsid w:val="00562B40"/>
    <w:rsid w:val="00563FE9"/>
    <w:rsid w:val="005643F7"/>
    <w:rsid w:val="00564C97"/>
    <w:rsid w:val="0056541F"/>
    <w:rsid w:val="005709A4"/>
    <w:rsid w:val="00571312"/>
    <w:rsid w:val="00571EED"/>
    <w:rsid w:val="0057404E"/>
    <w:rsid w:val="00580B89"/>
    <w:rsid w:val="0058367E"/>
    <w:rsid w:val="00587C31"/>
    <w:rsid w:val="0059246B"/>
    <w:rsid w:val="005A09D8"/>
    <w:rsid w:val="005A1156"/>
    <w:rsid w:val="005A1F53"/>
    <w:rsid w:val="005A6F7B"/>
    <w:rsid w:val="005C218A"/>
    <w:rsid w:val="005C58D5"/>
    <w:rsid w:val="005C666A"/>
    <w:rsid w:val="005C6AA6"/>
    <w:rsid w:val="005C6B06"/>
    <w:rsid w:val="005C776F"/>
    <w:rsid w:val="005E0944"/>
    <w:rsid w:val="005E1749"/>
    <w:rsid w:val="005E2342"/>
    <w:rsid w:val="005E79EB"/>
    <w:rsid w:val="005F2A9B"/>
    <w:rsid w:val="00600299"/>
    <w:rsid w:val="0060215D"/>
    <w:rsid w:val="00612165"/>
    <w:rsid w:val="006133FA"/>
    <w:rsid w:val="006136C0"/>
    <w:rsid w:val="00613AF7"/>
    <w:rsid w:val="00616086"/>
    <w:rsid w:val="0061705D"/>
    <w:rsid w:val="00620DE0"/>
    <w:rsid w:val="00622078"/>
    <w:rsid w:val="0062524A"/>
    <w:rsid w:val="00626D5A"/>
    <w:rsid w:val="00630F6A"/>
    <w:rsid w:val="006322F3"/>
    <w:rsid w:val="00636412"/>
    <w:rsid w:val="006404D9"/>
    <w:rsid w:val="00641793"/>
    <w:rsid w:val="00644ACC"/>
    <w:rsid w:val="00646D50"/>
    <w:rsid w:val="0065146E"/>
    <w:rsid w:val="00652F52"/>
    <w:rsid w:val="00653063"/>
    <w:rsid w:val="006618A6"/>
    <w:rsid w:val="00662968"/>
    <w:rsid w:val="00665DA8"/>
    <w:rsid w:val="006660FD"/>
    <w:rsid w:val="00666625"/>
    <w:rsid w:val="00671E5B"/>
    <w:rsid w:val="00674926"/>
    <w:rsid w:val="00680398"/>
    <w:rsid w:val="00684C2B"/>
    <w:rsid w:val="006850A0"/>
    <w:rsid w:val="00690727"/>
    <w:rsid w:val="00697135"/>
    <w:rsid w:val="00697965"/>
    <w:rsid w:val="006A1980"/>
    <w:rsid w:val="006A2022"/>
    <w:rsid w:val="006A2EDA"/>
    <w:rsid w:val="006A3D1A"/>
    <w:rsid w:val="006A425D"/>
    <w:rsid w:val="006A63A0"/>
    <w:rsid w:val="006A7712"/>
    <w:rsid w:val="006B00AD"/>
    <w:rsid w:val="006B397B"/>
    <w:rsid w:val="006B3E7D"/>
    <w:rsid w:val="006C1BCE"/>
    <w:rsid w:val="006C5CD1"/>
    <w:rsid w:val="006D0756"/>
    <w:rsid w:val="006D1489"/>
    <w:rsid w:val="006D1881"/>
    <w:rsid w:val="006D6B73"/>
    <w:rsid w:val="006E7DA1"/>
    <w:rsid w:val="006F33C4"/>
    <w:rsid w:val="006F7379"/>
    <w:rsid w:val="006F7551"/>
    <w:rsid w:val="0070188A"/>
    <w:rsid w:val="0070416C"/>
    <w:rsid w:val="00710715"/>
    <w:rsid w:val="007107AA"/>
    <w:rsid w:val="00711019"/>
    <w:rsid w:val="0071273B"/>
    <w:rsid w:val="00714BFE"/>
    <w:rsid w:val="00714C39"/>
    <w:rsid w:val="007279BD"/>
    <w:rsid w:val="00731D62"/>
    <w:rsid w:val="00734853"/>
    <w:rsid w:val="007368C1"/>
    <w:rsid w:val="00736E02"/>
    <w:rsid w:val="0074156C"/>
    <w:rsid w:val="007428A4"/>
    <w:rsid w:val="00743A88"/>
    <w:rsid w:val="00750F74"/>
    <w:rsid w:val="00751F77"/>
    <w:rsid w:val="00752C30"/>
    <w:rsid w:val="00753E6E"/>
    <w:rsid w:val="00755F5C"/>
    <w:rsid w:val="0076074B"/>
    <w:rsid w:val="007630AE"/>
    <w:rsid w:val="00767F01"/>
    <w:rsid w:val="0077040E"/>
    <w:rsid w:val="007709AB"/>
    <w:rsid w:val="00772422"/>
    <w:rsid w:val="00775E6E"/>
    <w:rsid w:val="00777772"/>
    <w:rsid w:val="007811AD"/>
    <w:rsid w:val="00790A9C"/>
    <w:rsid w:val="0079221C"/>
    <w:rsid w:val="00794E85"/>
    <w:rsid w:val="0079611F"/>
    <w:rsid w:val="007A2BB1"/>
    <w:rsid w:val="007A2FDC"/>
    <w:rsid w:val="007A56C4"/>
    <w:rsid w:val="007A5EC4"/>
    <w:rsid w:val="007B25E5"/>
    <w:rsid w:val="007B73A0"/>
    <w:rsid w:val="007C2D5F"/>
    <w:rsid w:val="007C5BDD"/>
    <w:rsid w:val="007C69B1"/>
    <w:rsid w:val="007D4B2B"/>
    <w:rsid w:val="007D4D17"/>
    <w:rsid w:val="007D6336"/>
    <w:rsid w:val="007E17AA"/>
    <w:rsid w:val="007E39A2"/>
    <w:rsid w:val="007E3CFB"/>
    <w:rsid w:val="007E59C5"/>
    <w:rsid w:val="007E76C7"/>
    <w:rsid w:val="007F2E85"/>
    <w:rsid w:val="007F5C00"/>
    <w:rsid w:val="00804553"/>
    <w:rsid w:val="00805621"/>
    <w:rsid w:val="00805D99"/>
    <w:rsid w:val="00816F67"/>
    <w:rsid w:val="00822BD3"/>
    <w:rsid w:val="00823178"/>
    <w:rsid w:val="00824551"/>
    <w:rsid w:val="00826154"/>
    <w:rsid w:val="008278ED"/>
    <w:rsid w:val="008308F9"/>
    <w:rsid w:val="00832762"/>
    <w:rsid w:val="00836957"/>
    <w:rsid w:val="00837271"/>
    <w:rsid w:val="00842D9A"/>
    <w:rsid w:val="008472EE"/>
    <w:rsid w:val="00847B1A"/>
    <w:rsid w:val="008530F5"/>
    <w:rsid w:val="00854050"/>
    <w:rsid w:val="00857E69"/>
    <w:rsid w:val="00862BE6"/>
    <w:rsid w:val="00870D19"/>
    <w:rsid w:val="00882E59"/>
    <w:rsid w:val="00895F86"/>
    <w:rsid w:val="008A1773"/>
    <w:rsid w:val="008A3555"/>
    <w:rsid w:val="008A64F6"/>
    <w:rsid w:val="008A694A"/>
    <w:rsid w:val="008B1B35"/>
    <w:rsid w:val="008B3EFF"/>
    <w:rsid w:val="008B57F2"/>
    <w:rsid w:val="008B7171"/>
    <w:rsid w:val="008C1CE2"/>
    <w:rsid w:val="008C2991"/>
    <w:rsid w:val="008C7915"/>
    <w:rsid w:val="008D1D2E"/>
    <w:rsid w:val="008E2507"/>
    <w:rsid w:val="008E4B62"/>
    <w:rsid w:val="008F27E0"/>
    <w:rsid w:val="008F2953"/>
    <w:rsid w:val="008F34BA"/>
    <w:rsid w:val="008F4033"/>
    <w:rsid w:val="00901A09"/>
    <w:rsid w:val="00907E43"/>
    <w:rsid w:val="00910964"/>
    <w:rsid w:val="00910DFB"/>
    <w:rsid w:val="00913427"/>
    <w:rsid w:val="00914B21"/>
    <w:rsid w:val="009232E2"/>
    <w:rsid w:val="009269D5"/>
    <w:rsid w:val="00926C41"/>
    <w:rsid w:val="0093037E"/>
    <w:rsid w:val="00930870"/>
    <w:rsid w:val="00931E60"/>
    <w:rsid w:val="009364B9"/>
    <w:rsid w:val="00936DC5"/>
    <w:rsid w:val="0094336B"/>
    <w:rsid w:val="0094554F"/>
    <w:rsid w:val="00946499"/>
    <w:rsid w:val="0096010B"/>
    <w:rsid w:val="00960490"/>
    <w:rsid w:val="009640AC"/>
    <w:rsid w:val="00980F4C"/>
    <w:rsid w:val="00983F0B"/>
    <w:rsid w:val="00990D43"/>
    <w:rsid w:val="00995C5D"/>
    <w:rsid w:val="009969D5"/>
    <w:rsid w:val="009A058F"/>
    <w:rsid w:val="009A23C8"/>
    <w:rsid w:val="009A4323"/>
    <w:rsid w:val="009A7BDD"/>
    <w:rsid w:val="009A7F43"/>
    <w:rsid w:val="009B070B"/>
    <w:rsid w:val="009B3104"/>
    <w:rsid w:val="009B3B2C"/>
    <w:rsid w:val="009B5817"/>
    <w:rsid w:val="009C0EB5"/>
    <w:rsid w:val="009C6998"/>
    <w:rsid w:val="009E0AF3"/>
    <w:rsid w:val="009E0E79"/>
    <w:rsid w:val="009E3879"/>
    <w:rsid w:val="009E461C"/>
    <w:rsid w:val="009F3981"/>
    <w:rsid w:val="009F7035"/>
    <w:rsid w:val="00A0300A"/>
    <w:rsid w:val="00A0375B"/>
    <w:rsid w:val="00A03C62"/>
    <w:rsid w:val="00A05ED0"/>
    <w:rsid w:val="00A0740A"/>
    <w:rsid w:val="00A151C9"/>
    <w:rsid w:val="00A24641"/>
    <w:rsid w:val="00A2673C"/>
    <w:rsid w:val="00A31D0F"/>
    <w:rsid w:val="00A3525A"/>
    <w:rsid w:val="00A36B1D"/>
    <w:rsid w:val="00A50DAC"/>
    <w:rsid w:val="00A5252B"/>
    <w:rsid w:val="00A601C7"/>
    <w:rsid w:val="00A666AA"/>
    <w:rsid w:val="00A675FB"/>
    <w:rsid w:val="00A67B25"/>
    <w:rsid w:val="00A70A0F"/>
    <w:rsid w:val="00A7372E"/>
    <w:rsid w:val="00A74364"/>
    <w:rsid w:val="00A7628D"/>
    <w:rsid w:val="00A76BCB"/>
    <w:rsid w:val="00A828CE"/>
    <w:rsid w:val="00A907EA"/>
    <w:rsid w:val="00A93144"/>
    <w:rsid w:val="00A93404"/>
    <w:rsid w:val="00A93A4A"/>
    <w:rsid w:val="00A964C0"/>
    <w:rsid w:val="00A977C4"/>
    <w:rsid w:val="00AA6DE1"/>
    <w:rsid w:val="00AC1EB4"/>
    <w:rsid w:val="00AC24D5"/>
    <w:rsid w:val="00AC2CF0"/>
    <w:rsid w:val="00AD4DAD"/>
    <w:rsid w:val="00AE73D4"/>
    <w:rsid w:val="00AF034A"/>
    <w:rsid w:val="00AF0855"/>
    <w:rsid w:val="00AF1475"/>
    <w:rsid w:val="00AF348F"/>
    <w:rsid w:val="00B027A1"/>
    <w:rsid w:val="00B027A6"/>
    <w:rsid w:val="00B04730"/>
    <w:rsid w:val="00B055C3"/>
    <w:rsid w:val="00B06065"/>
    <w:rsid w:val="00B078B5"/>
    <w:rsid w:val="00B0790B"/>
    <w:rsid w:val="00B13B26"/>
    <w:rsid w:val="00B13E51"/>
    <w:rsid w:val="00B179C4"/>
    <w:rsid w:val="00B17BAA"/>
    <w:rsid w:val="00B2323B"/>
    <w:rsid w:val="00B24341"/>
    <w:rsid w:val="00B2634C"/>
    <w:rsid w:val="00B26BD3"/>
    <w:rsid w:val="00B338D7"/>
    <w:rsid w:val="00B34541"/>
    <w:rsid w:val="00B361B9"/>
    <w:rsid w:val="00B3624D"/>
    <w:rsid w:val="00B47AD5"/>
    <w:rsid w:val="00B522CB"/>
    <w:rsid w:val="00B56186"/>
    <w:rsid w:val="00B618DA"/>
    <w:rsid w:val="00B70E69"/>
    <w:rsid w:val="00B7225E"/>
    <w:rsid w:val="00B728D1"/>
    <w:rsid w:val="00B73785"/>
    <w:rsid w:val="00B74058"/>
    <w:rsid w:val="00B7412A"/>
    <w:rsid w:val="00B84D4D"/>
    <w:rsid w:val="00B84F2B"/>
    <w:rsid w:val="00B86E2C"/>
    <w:rsid w:val="00B879C2"/>
    <w:rsid w:val="00B87CEA"/>
    <w:rsid w:val="00B91182"/>
    <w:rsid w:val="00B91ED0"/>
    <w:rsid w:val="00B938A5"/>
    <w:rsid w:val="00B945E2"/>
    <w:rsid w:val="00B9561D"/>
    <w:rsid w:val="00B96547"/>
    <w:rsid w:val="00BA63ED"/>
    <w:rsid w:val="00BB177E"/>
    <w:rsid w:val="00BB325D"/>
    <w:rsid w:val="00BB7897"/>
    <w:rsid w:val="00BC1A29"/>
    <w:rsid w:val="00BD2C4F"/>
    <w:rsid w:val="00BD5738"/>
    <w:rsid w:val="00BE0A1B"/>
    <w:rsid w:val="00BE7864"/>
    <w:rsid w:val="00BF268A"/>
    <w:rsid w:val="00BF5C83"/>
    <w:rsid w:val="00C03679"/>
    <w:rsid w:val="00C06887"/>
    <w:rsid w:val="00C1606D"/>
    <w:rsid w:val="00C2589F"/>
    <w:rsid w:val="00C270F6"/>
    <w:rsid w:val="00C333F4"/>
    <w:rsid w:val="00C3433F"/>
    <w:rsid w:val="00C3598E"/>
    <w:rsid w:val="00C36DF3"/>
    <w:rsid w:val="00C401CF"/>
    <w:rsid w:val="00C4288E"/>
    <w:rsid w:val="00C4423B"/>
    <w:rsid w:val="00C46C5E"/>
    <w:rsid w:val="00C50E6F"/>
    <w:rsid w:val="00C61830"/>
    <w:rsid w:val="00C6302C"/>
    <w:rsid w:val="00C63E4F"/>
    <w:rsid w:val="00C662B8"/>
    <w:rsid w:val="00C701B8"/>
    <w:rsid w:val="00C707E0"/>
    <w:rsid w:val="00C71AD2"/>
    <w:rsid w:val="00C7254A"/>
    <w:rsid w:val="00C730B8"/>
    <w:rsid w:val="00C73375"/>
    <w:rsid w:val="00C813DC"/>
    <w:rsid w:val="00C841AC"/>
    <w:rsid w:val="00C84DC5"/>
    <w:rsid w:val="00C8626B"/>
    <w:rsid w:val="00C92F7A"/>
    <w:rsid w:val="00C9626C"/>
    <w:rsid w:val="00C971FE"/>
    <w:rsid w:val="00CA3FD1"/>
    <w:rsid w:val="00CA50A8"/>
    <w:rsid w:val="00CB03F4"/>
    <w:rsid w:val="00CB1FBD"/>
    <w:rsid w:val="00CB326E"/>
    <w:rsid w:val="00CB3606"/>
    <w:rsid w:val="00CB45A6"/>
    <w:rsid w:val="00CB65B1"/>
    <w:rsid w:val="00CB70B1"/>
    <w:rsid w:val="00CC148B"/>
    <w:rsid w:val="00CD0B70"/>
    <w:rsid w:val="00CD2220"/>
    <w:rsid w:val="00CD296C"/>
    <w:rsid w:val="00CD2F18"/>
    <w:rsid w:val="00CD6E4F"/>
    <w:rsid w:val="00CD7833"/>
    <w:rsid w:val="00CD7898"/>
    <w:rsid w:val="00CE14FE"/>
    <w:rsid w:val="00CE1C9E"/>
    <w:rsid w:val="00CE20A5"/>
    <w:rsid w:val="00CE6AD5"/>
    <w:rsid w:val="00CE7EA4"/>
    <w:rsid w:val="00CF0BB6"/>
    <w:rsid w:val="00CF270A"/>
    <w:rsid w:val="00CF2E91"/>
    <w:rsid w:val="00CF40FA"/>
    <w:rsid w:val="00CF6C7D"/>
    <w:rsid w:val="00D07C34"/>
    <w:rsid w:val="00D1048C"/>
    <w:rsid w:val="00D12EED"/>
    <w:rsid w:val="00D13480"/>
    <w:rsid w:val="00D13D0A"/>
    <w:rsid w:val="00D176D3"/>
    <w:rsid w:val="00D17D38"/>
    <w:rsid w:val="00D216DC"/>
    <w:rsid w:val="00D22A04"/>
    <w:rsid w:val="00D24B74"/>
    <w:rsid w:val="00D24E2C"/>
    <w:rsid w:val="00D37EC0"/>
    <w:rsid w:val="00D417DC"/>
    <w:rsid w:val="00D42695"/>
    <w:rsid w:val="00D42ECC"/>
    <w:rsid w:val="00D448FB"/>
    <w:rsid w:val="00D467BE"/>
    <w:rsid w:val="00D521D4"/>
    <w:rsid w:val="00D5687D"/>
    <w:rsid w:val="00D56A7C"/>
    <w:rsid w:val="00D62D04"/>
    <w:rsid w:val="00D63F6D"/>
    <w:rsid w:val="00D654EB"/>
    <w:rsid w:val="00D67009"/>
    <w:rsid w:val="00D71763"/>
    <w:rsid w:val="00D74141"/>
    <w:rsid w:val="00D75C5E"/>
    <w:rsid w:val="00D75F11"/>
    <w:rsid w:val="00D77403"/>
    <w:rsid w:val="00D77AB8"/>
    <w:rsid w:val="00D8077F"/>
    <w:rsid w:val="00D81050"/>
    <w:rsid w:val="00D81BDC"/>
    <w:rsid w:val="00D82BD9"/>
    <w:rsid w:val="00D85F17"/>
    <w:rsid w:val="00D87460"/>
    <w:rsid w:val="00D905F6"/>
    <w:rsid w:val="00D94328"/>
    <w:rsid w:val="00D97072"/>
    <w:rsid w:val="00D97E92"/>
    <w:rsid w:val="00DA0732"/>
    <w:rsid w:val="00DA13FB"/>
    <w:rsid w:val="00DA7189"/>
    <w:rsid w:val="00DA7CC0"/>
    <w:rsid w:val="00DB0DA2"/>
    <w:rsid w:val="00DB2CE3"/>
    <w:rsid w:val="00DB45C2"/>
    <w:rsid w:val="00DB6E0F"/>
    <w:rsid w:val="00DB73E0"/>
    <w:rsid w:val="00DC52DD"/>
    <w:rsid w:val="00DC5EC6"/>
    <w:rsid w:val="00DD0026"/>
    <w:rsid w:val="00DD1CC4"/>
    <w:rsid w:val="00DD2479"/>
    <w:rsid w:val="00DD3344"/>
    <w:rsid w:val="00DD37ED"/>
    <w:rsid w:val="00DD5F92"/>
    <w:rsid w:val="00DD7191"/>
    <w:rsid w:val="00DD7550"/>
    <w:rsid w:val="00DE0521"/>
    <w:rsid w:val="00DE2C86"/>
    <w:rsid w:val="00DF0177"/>
    <w:rsid w:val="00DF2075"/>
    <w:rsid w:val="00DF28AE"/>
    <w:rsid w:val="00E00589"/>
    <w:rsid w:val="00E0130F"/>
    <w:rsid w:val="00E03CA1"/>
    <w:rsid w:val="00E0547F"/>
    <w:rsid w:val="00E05EE3"/>
    <w:rsid w:val="00E1141E"/>
    <w:rsid w:val="00E13585"/>
    <w:rsid w:val="00E24C9A"/>
    <w:rsid w:val="00E26C6E"/>
    <w:rsid w:val="00E27144"/>
    <w:rsid w:val="00E310BB"/>
    <w:rsid w:val="00E32411"/>
    <w:rsid w:val="00E33412"/>
    <w:rsid w:val="00E3391D"/>
    <w:rsid w:val="00E3456A"/>
    <w:rsid w:val="00E34B84"/>
    <w:rsid w:val="00E35517"/>
    <w:rsid w:val="00E404E9"/>
    <w:rsid w:val="00E40E34"/>
    <w:rsid w:val="00E423D8"/>
    <w:rsid w:val="00E439A6"/>
    <w:rsid w:val="00E43DE5"/>
    <w:rsid w:val="00E45C12"/>
    <w:rsid w:val="00E5085B"/>
    <w:rsid w:val="00E518AC"/>
    <w:rsid w:val="00E5426D"/>
    <w:rsid w:val="00E62153"/>
    <w:rsid w:val="00E63A98"/>
    <w:rsid w:val="00E646C7"/>
    <w:rsid w:val="00E728D2"/>
    <w:rsid w:val="00E73230"/>
    <w:rsid w:val="00E74B78"/>
    <w:rsid w:val="00E77017"/>
    <w:rsid w:val="00E803E3"/>
    <w:rsid w:val="00E8327F"/>
    <w:rsid w:val="00E851C5"/>
    <w:rsid w:val="00E938E3"/>
    <w:rsid w:val="00EA6538"/>
    <w:rsid w:val="00EB61DF"/>
    <w:rsid w:val="00EC3B53"/>
    <w:rsid w:val="00EC7558"/>
    <w:rsid w:val="00ED217C"/>
    <w:rsid w:val="00ED39AA"/>
    <w:rsid w:val="00EE77C2"/>
    <w:rsid w:val="00EF0643"/>
    <w:rsid w:val="00EF24B5"/>
    <w:rsid w:val="00EF2600"/>
    <w:rsid w:val="00EF4A88"/>
    <w:rsid w:val="00F03700"/>
    <w:rsid w:val="00F042ED"/>
    <w:rsid w:val="00F04D83"/>
    <w:rsid w:val="00F10881"/>
    <w:rsid w:val="00F148DC"/>
    <w:rsid w:val="00F21E49"/>
    <w:rsid w:val="00F25129"/>
    <w:rsid w:val="00F30FAA"/>
    <w:rsid w:val="00F36252"/>
    <w:rsid w:val="00F43A02"/>
    <w:rsid w:val="00F4402A"/>
    <w:rsid w:val="00F45571"/>
    <w:rsid w:val="00F5052C"/>
    <w:rsid w:val="00F52EC7"/>
    <w:rsid w:val="00F54400"/>
    <w:rsid w:val="00F55FB5"/>
    <w:rsid w:val="00F64BBB"/>
    <w:rsid w:val="00F6720C"/>
    <w:rsid w:val="00F70C50"/>
    <w:rsid w:val="00F724CB"/>
    <w:rsid w:val="00F7629C"/>
    <w:rsid w:val="00F81751"/>
    <w:rsid w:val="00F828A3"/>
    <w:rsid w:val="00F830E3"/>
    <w:rsid w:val="00F835CA"/>
    <w:rsid w:val="00F9237F"/>
    <w:rsid w:val="00F9417E"/>
    <w:rsid w:val="00F948F2"/>
    <w:rsid w:val="00F94DD9"/>
    <w:rsid w:val="00FA68BB"/>
    <w:rsid w:val="00FB5C51"/>
    <w:rsid w:val="00FC12CB"/>
    <w:rsid w:val="00FC1ECC"/>
    <w:rsid w:val="00FC236C"/>
    <w:rsid w:val="00FC4B93"/>
    <w:rsid w:val="00FC707E"/>
    <w:rsid w:val="00FE0EB7"/>
    <w:rsid w:val="00FE586A"/>
    <w:rsid w:val="00FE72FD"/>
    <w:rsid w:val="00FF01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31AF3"/>
  <w15:chartTrackingRefBased/>
  <w15:docId w15:val="{8989EBC3-4F63-43DA-9367-C644C9B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31D6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rsid w:val="00484114"/>
    <w:pPr>
      <w:numPr>
        <w:numId w:val="13"/>
      </w:numPr>
      <w:suppressAutoHyphens/>
      <w:spacing w:before="240" w:after="240" w:line="480" w:lineRule="auto"/>
      <w:jc w:val="both"/>
      <w:outlineLvl w:val="0"/>
    </w:pPr>
    <w:rPr>
      <w:szCs w:val="20"/>
    </w:rPr>
  </w:style>
  <w:style w:type="paragraph" w:customStyle="1" w:styleId="ParaLevel2">
    <w:name w:val="ParaLevel2"/>
    <w:basedOn w:val="Normal"/>
    <w:rsid w:val="00484114"/>
    <w:pPr>
      <w:numPr>
        <w:ilvl w:val="1"/>
        <w:numId w:val="13"/>
      </w:numPr>
      <w:suppressAutoHyphens/>
      <w:spacing w:before="240" w:after="240" w:line="480" w:lineRule="auto"/>
      <w:jc w:val="both"/>
      <w:outlineLvl w:val="1"/>
    </w:pPr>
    <w:rPr>
      <w:szCs w:val="20"/>
    </w:rPr>
  </w:style>
  <w:style w:type="paragraph" w:customStyle="1" w:styleId="ParaLevel3">
    <w:name w:val="ParaLevel3"/>
    <w:basedOn w:val="Normal"/>
    <w:rsid w:val="00484114"/>
    <w:pPr>
      <w:numPr>
        <w:ilvl w:val="2"/>
        <w:numId w:val="13"/>
      </w:numPr>
      <w:suppressAutoHyphens/>
      <w:spacing w:before="240" w:after="240" w:line="480" w:lineRule="auto"/>
      <w:jc w:val="both"/>
      <w:outlineLvl w:val="2"/>
    </w:pPr>
    <w:rPr>
      <w:szCs w:val="20"/>
    </w:rPr>
  </w:style>
  <w:style w:type="paragraph" w:customStyle="1" w:styleId="ParaLevel4">
    <w:name w:val="ParaLevel4"/>
    <w:basedOn w:val="Normal"/>
    <w:rsid w:val="00484114"/>
    <w:pPr>
      <w:numPr>
        <w:ilvl w:val="3"/>
        <w:numId w:val="13"/>
      </w:numPr>
      <w:suppressAutoHyphens/>
      <w:spacing w:before="240" w:after="240" w:line="480" w:lineRule="auto"/>
      <w:jc w:val="both"/>
      <w:outlineLvl w:val="3"/>
    </w:pPr>
    <w:rPr>
      <w:szCs w:val="20"/>
    </w:rPr>
  </w:style>
  <w:style w:type="paragraph" w:customStyle="1" w:styleId="ParaLevel5">
    <w:name w:val="ParaLevel5"/>
    <w:basedOn w:val="Normal"/>
    <w:rsid w:val="00484114"/>
    <w:pPr>
      <w:numPr>
        <w:ilvl w:val="4"/>
        <w:numId w:val="13"/>
      </w:numPr>
      <w:suppressAutoHyphens/>
      <w:spacing w:before="240" w:after="240" w:line="480" w:lineRule="auto"/>
      <w:jc w:val="both"/>
      <w:outlineLvl w:val="4"/>
    </w:pPr>
    <w:rPr>
      <w:szCs w:val="20"/>
    </w:rPr>
  </w:style>
  <w:style w:type="paragraph" w:customStyle="1" w:styleId="ParaLevel6">
    <w:name w:val="ParaLevel6"/>
    <w:basedOn w:val="Normal"/>
    <w:rsid w:val="00484114"/>
    <w:pPr>
      <w:numPr>
        <w:ilvl w:val="5"/>
        <w:numId w:val="13"/>
      </w:numPr>
      <w:suppressAutoHyphens/>
      <w:spacing w:before="240" w:after="240" w:line="480" w:lineRule="auto"/>
      <w:jc w:val="both"/>
      <w:outlineLvl w:val="5"/>
    </w:pPr>
    <w:rPr>
      <w:szCs w:val="20"/>
    </w:rPr>
  </w:style>
  <w:style w:type="paragraph" w:customStyle="1" w:styleId="ParaLevel7">
    <w:name w:val="ParaLevel7"/>
    <w:basedOn w:val="Normal"/>
    <w:rsid w:val="00484114"/>
    <w:pPr>
      <w:numPr>
        <w:ilvl w:val="6"/>
        <w:numId w:val="13"/>
      </w:numPr>
      <w:suppressAutoHyphens/>
      <w:spacing w:before="240" w:after="240" w:line="480" w:lineRule="auto"/>
      <w:jc w:val="both"/>
      <w:outlineLvl w:val="6"/>
    </w:pPr>
    <w:rPr>
      <w:szCs w:val="20"/>
    </w:rPr>
  </w:style>
  <w:style w:type="paragraph" w:customStyle="1" w:styleId="ParaLevel8">
    <w:name w:val="ParaLevel8"/>
    <w:basedOn w:val="Normal"/>
    <w:rsid w:val="00484114"/>
    <w:pPr>
      <w:numPr>
        <w:ilvl w:val="7"/>
        <w:numId w:val="13"/>
      </w:numPr>
      <w:suppressAutoHyphens/>
      <w:spacing w:before="240" w:after="240" w:line="480" w:lineRule="auto"/>
      <w:jc w:val="both"/>
      <w:outlineLvl w:val="7"/>
    </w:pPr>
    <w:rPr>
      <w:szCs w:val="20"/>
    </w:rPr>
  </w:style>
  <w:style w:type="paragraph" w:customStyle="1" w:styleId="ParaLevel9">
    <w:name w:val="ParaLevel9"/>
    <w:basedOn w:val="Normal"/>
    <w:rsid w:val="00484114"/>
    <w:pPr>
      <w:numPr>
        <w:ilvl w:val="8"/>
        <w:numId w:val="13"/>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heading10">
    <w:name w:val="_heading 1"/>
    <w:basedOn w:val="Heading3"/>
    <w:qFormat/>
    <w:rsid w:val="00484114"/>
    <w:rPr>
      <w:rFonts w:ascii="Times New Roman" w:hAnsi="Times New Roman"/>
      <w:sz w:val="24"/>
    </w:rPr>
  </w:style>
  <w:style w:type="paragraph" w:customStyle="1" w:styleId="eMailBlock">
    <w:name w:val="eMailBlock"/>
    <w:basedOn w:val="Title"/>
    <w:rPr>
      <w:sz w:val="26"/>
    </w:rPr>
  </w:style>
  <w:style w:type="paragraph" w:customStyle="1" w:styleId="heading20">
    <w:name w:val="_heading 2"/>
    <w:basedOn w:val="Heading3"/>
    <w:qFormat/>
    <w:rsid w:val="00484114"/>
    <w:pPr>
      <w:ind w:left="567"/>
    </w:pPr>
    <w:rPr>
      <w:rFonts w:ascii="Times New Roman" w:hAnsi="Times New Roman"/>
      <w:sz w:val="24"/>
    </w:rPr>
  </w:style>
  <w:style w:type="paragraph" w:customStyle="1" w:styleId="heading30">
    <w:name w:val="_heading 3"/>
    <w:basedOn w:val="Heading3"/>
    <w:qFormat/>
    <w:rsid w:val="00484114"/>
    <w:pPr>
      <w:ind w:left="567" w:firstLine="567"/>
      <w:jc w:val="center"/>
    </w:pPr>
    <w:rPr>
      <w:rFonts w:ascii="Times New Roman" w:hAnsi="Times New Roman"/>
      <w:b w:val="0"/>
      <w:bCs w:val="0"/>
      <w:i/>
      <w:iCs/>
      <w:sz w:val="24"/>
    </w:rPr>
  </w:style>
  <w:style w:type="paragraph" w:customStyle="1" w:styleId="level1">
    <w:name w:val="__level 1"/>
    <w:basedOn w:val="ParaLevel1"/>
    <w:qFormat/>
    <w:rsid w:val="00571312"/>
    <w:pPr>
      <w:spacing w:line="360" w:lineRule="auto"/>
    </w:pPr>
  </w:style>
  <w:style w:type="paragraph" w:customStyle="1" w:styleId="level2">
    <w:name w:val="__level 2"/>
    <w:basedOn w:val="ParaLevel2"/>
    <w:qFormat/>
    <w:rsid w:val="00484114"/>
  </w:style>
  <w:style w:type="paragraph" w:customStyle="1" w:styleId="level3">
    <w:name w:val="__level 3"/>
    <w:basedOn w:val="ParaLevel3"/>
    <w:qFormat/>
    <w:rsid w:val="00484114"/>
  </w:style>
  <w:style w:type="paragraph" w:customStyle="1" w:styleId="quote0">
    <w:name w:val="_quote"/>
    <w:basedOn w:val="Quote"/>
    <w:qFormat/>
    <w:rsid w:val="00484114"/>
  </w:style>
  <w:style w:type="paragraph" w:styleId="TOC3">
    <w:name w:val="toc 3"/>
    <w:basedOn w:val="Normal"/>
    <w:next w:val="Normal"/>
    <w:autoRedefine/>
    <w:uiPriority w:val="39"/>
    <w:rsid w:val="00731D62"/>
    <w:pPr>
      <w:ind w:left="480"/>
    </w:pPr>
  </w:style>
  <w:style w:type="character" w:customStyle="1" w:styleId="Heading2Char">
    <w:name w:val="Heading 2 Char"/>
    <w:basedOn w:val="DefaultParagraphFont"/>
    <w:link w:val="Heading2"/>
    <w:semiHidden/>
    <w:rsid w:val="00731D62"/>
    <w:rPr>
      <w:rFonts w:asciiTheme="majorHAnsi" w:eastAsiaTheme="majorEastAsia" w:hAnsiTheme="majorHAnsi" w:cstheme="majorBidi"/>
      <w:b/>
      <w:bCs/>
      <w:i/>
      <w:iCs/>
      <w:sz w:val="28"/>
      <w:szCs w:val="28"/>
      <w:lang w:eastAsia="en-US"/>
    </w:rPr>
  </w:style>
  <w:style w:type="paragraph" w:customStyle="1" w:styleId="tableofcontents">
    <w:name w:val="_table of contents"/>
    <w:basedOn w:val="TOC3"/>
    <w:qFormat/>
    <w:rsid w:val="00731D62"/>
    <w:pPr>
      <w:tabs>
        <w:tab w:val="right" w:leader="dot" w:pos="9019"/>
      </w:tabs>
    </w:pPr>
    <w:rPr>
      <w:i/>
      <w:iCs/>
      <w:noProof/>
    </w:rPr>
  </w:style>
  <w:style w:type="paragraph" w:styleId="TOCHeading">
    <w:name w:val="TOC Heading"/>
    <w:basedOn w:val="Heading1"/>
    <w:next w:val="Normal"/>
    <w:uiPriority w:val="39"/>
    <w:unhideWhenUsed/>
    <w:qFormat/>
    <w:rsid w:val="00371795"/>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371795"/>
    <w:pPr>
      <w:spacing w:after="100"/>
    </w:pPr>
  </w:style>
  <w:style w:type="character" w:styleId="Hyperlink">
    <w:name w:val="Hyperlink"/>
    <w:basedOn w:val="DefaultParagraphFont"/>
    <w:uiPriority w:val="99"/>
    <w:unhideWhenUsed/>
    <w:rsid w:val="00371795"/>
    <w:rPr>
      <w:color w:val="0563C1" w:themeColor="hyperlink"/>
      <w:u w:val="single"/>
    </w:rPr>
  </w:style>
  <w:style w:type="character" w:styleId="UnresolvedMention">
    <w:name w:val="Unresolved Mention"/>
    <w:basedOn w:val="DefaultParagraphFont"/>
    <w:uiPriority w:val="99"/>
    <w:semiHidden/>
    <w:unhideWhenUsed/>
    <w:rsid w:val="00557F24"/>
    <w:rPr>
      <w:color w:val="605E5C"/>
      <w:shd w:val="clear" w:color="auto" w:fill="E1DFDD"/>
    </w:rPr>
  </w:style>
  <w:style w:type="paragraph" w:styleId="FootnoteText">
    <w:name w:val="footnote text"/>
    <w:basedOn w:val="Normal"/>
    <w:link w:val="FootnoteTextChar"/>
    <w:rsid w:val="001A2E32"/>
    <w:rPr>
      <w:sz w:val="20"/>
      <w:szCs w:val="20"/>
    </w:rPr>
  </w:style>
  <w:style w:type="character" w:customStyle="1" w:styleId="FootnoteTextChar">
    <w:name w:val="Footnote Text Char"/>
    <w:basedOn w:val="DefaultParagraphFont"/>
    <w:link w:val="FootnoteText"/>
    <w:rsid w:val="001A2E32"/>
    <w:rPr>
      <w:lang w:eastAsia="en-US"/>
    </w:rPr>
  </w:style>
  <w:style w:type="character" w:styleId="FootnoteReference">
    <w:name w:val="footnote reference"/>
    <w:basedOn w:val="DefaultParagraphFont"/>
    <w:rsid w:val="001A2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shaw\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A7AB-A79D-4343-BAA0-1BDE6303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Template>
  <TotalTime>0</TotalTime>
  <Pages>15</Pages>
  <Words>5737</Words>
  <Characters>28586</Characters>
  <Application>Microsoft Office Word</Application>
  <DocSecurity>0</DocSecurity>
  <Lines>493</Lines>
  <Paragraphs>53</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Henshaw</dc:creator>
  <cp:keywords/>
  <dc:description/>
  <cp:lastModifiedBy>Smith, Chris (Judicial Office)</cp:lastModifiedBy>
  <cp:revision>3</cp:revision>
  <cp:lastPrinted>2024-10-06T20:42:00Z</cp:lastPrinted>
  <dcterms:created xsi:type="dcterms:W3CDTF">2026-03-04T16:25:00Z</dcterms:created>
  <dcterms:modified xsi:type="dcterms:W3CDTF">2026-03-04T16:25:00Z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COMMERCIAL COURT</vt:lpwstr>
  </property>
  <property fmtid="{D5CDD505-2E9C-101B-9397-08002B2CF9AE}" pid="6" name="ApprovedStage">
    <vt:lpwstr>Draft</vt:lpwstr>
  </property>
  <property fmtid="{D5CDD505-2E9C-101B-9397-08002B2CF9AE}" pid="7" name="NCDiv">
    <vt:lpwstr>Comm</vt:lpwstr>
  </property>
  <property fmtid="{D5CDD505-2E9C-101B-9397-08002B2CF9AE}" pid="8" name="NCJudge">
    <vt:lpwstr>Andrew Henshaw QC (sitting as a Judge of the High Court)</vt:lpwstr>
  </property>
</Properties>
</file>