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F4DD" w14:textId="69A75583" w:rsidR="0083282E" w:rsidRDefault="002A778F" w:rsidP="0083282E">
      <w:pPr>
        <w:widowControl w:val="0"/>
        <w:autoSpaceDE w:val="0"/>
        <w:autoSpaceDN w:val="0"/>
        <w:adjustRightInd w:val="0"/>
        <w:spacing w:before="120" w:after="240"/>
        <w:jc w:val="center"/>
        <w:rPr>
          <w:rFonts w:ascii="Arial" w:hAnsi="Arial" w:cs="Arial"/>
          <w:b/>
          <w:bCs/>
          <w:sz w:val="40"/>
          <w:szCs w:val="40"/>
        </w:rPr>
      </w:pPr>
      <w:r>
        <w:rPr>
          <w:noProof/>
        </w:rPr>
        <w:drawing>
          <wp:anchor distT="0" distB="0" distL="114300" distR="114300" simplePos="0" relativeHeight="251657728" behindDoc="1" locked="0" layoutInCell="1" allowOverlap="1" wp14:anchorId="2B97881F" wp14:editId="6204B52C">
            <wp:simplePos x="0" y="0"/>
            <wp:positionH relativeFrom="margin">
              <wp:posOffset>145415</wp:posOffset>
            </wp:positionH>
            <wp:positionV relativeFrom="paragraph">
              <wp:posOffset>635</wp:posOffset>
            </wp:positionV>
            <wp:extent cx="1547495" cy="828040"/>
            <wp:effectExtent l="0" t="0" r="0" b="0"/>
            <wp:wrapTight wrapText="bothSides">
              <wp:wrapPolygon edited="0">
                <wp:start x="0" y="0"/>
                <wp:lineTo x="0" y="20871"/>
                <wp:lineTo x="21272" y="20871"/>
                <wp:lineTo x="21272" y="0"/>
                <wp:lineTo x="0" y="0"/>
              </wp:wrapPolygon>
            </wp:wrapTight>
            <wp:docPr id="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95" cy="828040"/>
                    </a:xfrm>
                    <a:prstGeom prst="rect">
                      <a:avLst/>
                    </a:prstGeom>
                    <a:noFill/>
                  </pic:spPr>
                </pic:pic>
              </a:graphicData>
            </a:graphic>
            <wp14:sizeRelH relativeFrom="page">
              <wp14:pctWidth>0</wp14:pctWidth>
            </wp14:sizeRelH>
            <wp14:sizeRelV relativeFrom="page">
              <wp14:pctHeight>0</wp14:pctHeight>
            </wp14:sizeRelV>
          </wp:anchor>
        </w:drawing>
      </w:r>
      <w:r w:rsidR="005C30BD">
        <w:rPr>
          <w:rFonts w:ascii="Arial" w:hAnsi="Arial"/>
          <w:b/>
          <w:sz w:val="40"/>
        </w:rPr>
        <w:t>Rhan 3 – Atodiad 3A</w:t>
      </w:r>
    </w:p>
    <w:p w14:paraId="3C37974A" w14:textId="77777777" w:rsidR="00EF3A33" w:rsidRDefault="00EF3A33" w:rsidP="00EF3A33">
      <w:pPr>
        <w:widowControl w:val="0"/>
        <w:autoSpaceDE w:val="0"/>
        <w:autoSpaceDN w:val="0"/>
        <w:adjustRightInd w:val="0"/>
        <w:spacing w:before="120" w:after="0"/>
        <w:jc w:val="center"/>
        <w:rPr>
          <w:rFonts w:ascii="Arial" w:hAnsi="Arial"/>
          <w:b/>
          <w:sz w:val="32"/>
        </w:rPr>
      </w:pPr>
    </w:p>
    <w:p w14:paraId="40679AD8" w14:textId="0663C2DF" w:rsidR="0083282E" w:rsidRPr="0083282E" w:rsidRDefault="0083282E" w:rsidP="00EF3A33">
      <w:pPr>
        <w:widowControl w:val="0"/>
        <w:autoSpaceDE w:val="0"/>
        <w:autoSpaceDN w:val="0"/>
        <w:adjustRightInd w:val="0"/>
        <w:spacing w:before="120" w:after="240"/>
        <w:jc w:val="center"/>
        <w:rPr>
          <w:rFonts w:ascii="Arial" w:hAnsi="Arial" w:cs="Arial"/>
          <w:b/>
          <w:bCs/>
          <w:sz w:val="32"/>
          <w:szCs w:val="32"/>
        </w:rPr>
      </w:pPr>
      <w:r>
        <w:rPr>
          <w:rFonts w:ascii="Arial" w:hAnsi="Arial"/>
          <w:b/>
          <w:sz w:val="32"/>
        </w:rPr>
        <w:t>Cyfarwyddyd ar recriwtio ynadon i swyddi lle mae’r gallu i siarad Cymraeg yn hanfodol</w:t>
      </w:r>
    </w:p>
    <w:p w14:paraId="73F45F57" w14:textId="77777777" w:rsidR="00B45E6A" w:rsidRPr="00633DCE" w:rsidRDefault="00B45E6A" w:rsidP="00633DCE">
      <w:pPr>
        <w:spacing w:before="120" w:after="120"/>
      </w:pPr>
      <w:r>
        <w:rPr>
          <w:rFonts w:ascii="Arial" w:hAnsi="Arial"/>
        </w:rPr>
        <w:t xml:space="preserve">Pan fydd Pwyllgorau Ymgynghorol yng Nghymru yn darogan nifer yr ynadon i’w recriwtio mewn unrhyw gyfnod penodol, rhaid iddynt ystyried faint o’r swyddi gwag, os o gwbl, y dylid eu hysbysebu fel rhai ‘Cymraeg yn hanfodol’. Bydd hyn yn dibynnu ar ffactorau megis y nifer presennol o ynadon dwyieithog ac ymddeoliadau arfaethedig. </w:t>
      </w:r>
    </w:p>
    <w:p w14:paraId="00FA8A57" w14:textId="713DEBD0" w:rsidR="00B45E6A" w:rsidRPr="00633DCE" w:rsidRDefault="00B45E6A" w:rsidP="00633DCE">
      <w:pPr>
        <w:spacing w:before="120" w:after="120"/>
      </w:pPr>
      <w:r>
        <w:rPr>
          <w:rFonts w:ascii="Arial" w:hAnsi="Arial"/>
        </w:rPr>
        <w:t xml:space="preserve">Dylid bob amser geisio sicrhau bod yna ddigon o ynadon dwyieithog o fewn Ardaloedd Cyfiawnder Lleol yng Nghymru i ddiwallu eu goblygiadau dan Adran 22 Deddf yr Iaith Gymraeg 1993. </w:t>
      </w:r>
    </w:p>
    <w:p w14:paraId="2699D74A" w14:textId="4268A773" w:rsidR="00560D3B" w:rsidRPr="00633DCE" w:rsidRDefault="00B45E6A" w:rsidP="00633DCE">
      <w:pPr>
        <w:spacing w:before="120" w:after="120"/>
      </w:pPr>
      <w:r>
        <w:rPr>
          <w:rFonts w:ascii="Arial" w:hAnsi="Arial"/>
        </w:rPr>
        <w:t>Unwaith y bydd Pwyllgorau Ymgynghorol wedi penderfynu faint o ynadon sydd eu hangen ar gyfer swyddi ‘lle mae’r gallu i siarad Cymraeg yn hanfodol’, dylid rhoi gwybod i Ysgrifennydd y Pwyllgor Ymgynghorol perthnasol sydd â chyfrifoldeb am weithrediadau yng Nghymru a’r Grŵp Busnes Barnwrol am gymeradwyaeth. Ni ddylai Pwyllgorau Ymgynghorol hysbysebu swyddi gwag lle mae’r gallu i siarad Cymraeg yn hanfodol hyd nes bydd y ffigur wedi’i gymeradwyo. Dylid ystyried nifer y swyddi lle mae’r gallu i siarad Cymraeg yn hanfodol y cytunwyd arnynt mewn unrhyw ymarfer recriwtio penodol fel ffigur i anelu ato.  Ni fydd Pwyllgorau Ymgynghorol yn cael eu beirniadu am fethu â recriwtio’r nifer a nodwyd o ynadon dwyieithog.</w:t>
      </w:r>
    </w:p>
    <w:p w14:paraId="76E507C0" w14:textId="77777777" w:rsidR="00B45E6A" w:rsidRPr="00633DCE" w:rsidRDefault="00560D3B" w:rsidP="00633DCE">
      <w:pPr>
        <w:spacing w:before="120" w:after="120"/>
      </w:pPr>
      <w:r>
        <w:rPr>
          <w:rFonts w:ascii="Arial" w:hAnsi="Arial"/>
          <w:b/>
        </w:rPr>
        <w:t>Hysbysebu swyddi gwag</w:t>
      </w:r>
    </w:p>
    <w:p w14:paraId="4B673C3C" w14:textId="0996D04B" w:rsidR="00B45E6A" w:rsidRPr="00633DCE" w:rsidRDefault="00B45E6A" w:rsidP="00633DCE">
      <w:pPr>
        <w:spacing w:before="120" w:after="120"/>
      </w:pPr>
      <w:r>
        <w:rPr>
          <w:rFonts w:ascii="Arial" w:hAnsi="Arial"/>
        </w:rPr>
        <w:t xml:space="preserve">Pan fydd Pwyllgor Ymgynghorol wedi dynodi rhai neu bob un o’i swyddi gwag fel rhai lle mae’r gallu i siarad Cymraeg yn hanfodol, dylai’r hysbyseb fod yn ddwyieithog.  Dylai’r hysbyseb nodi bod </w:t>
      </w:r>
      <w:r>
        <w:rPr>
          <w:rFonts w:ascii="Arial" w:hAnsi="Arial"/>
          <w:i/>
          <w:iCs/>
        </w:rPr>
        <w:t>“X o’r swyddi gwag yn rhai lle mae’r gallu i siarad Cymraeg yn hanfodol”</w:t>
      </w:r>
      <w:r>
        <w:rPr>
          <w:rFonts w:ascii="Arial" w:hAnsi="Arial"/>
        </w:rPr>
        <w:t xml:space="preserve"> a chynnwys gwybodaeth am sut y gall ymgeiswyr gael mynediad at fersiynau Cymraeg o ddeunyddiau </w:t>
      </w:r>
      <w:r w:rsidR="004E38EE">
        <w:rPr>
          <w:rFonts w:ascii="Arial" w:hAnsi="Arial"/>
        </w:rPr>
        <w:t xml:space="preserve">gwneud </w:t>
      </w:r>
      <w:r>
        <w:rPr>
          <w:rFonts w:ascii="Arial" w:hAnsi="Arial"/>
        </w:rPr>
        <w:t xml:space="preserve">cais – nid yw’n orfodol i ymgeiswyr wneud cais yn Gymraeg. </w:t>
      </w:r>
    </w:p>
    <w:p w14:paraId="527EA62F" w14:textId="77777777" w:rsidR="00B45E6A" w:rsidRPr="00633DCE" w:rsidRDefault="00B45E6A" w:rsidP="00633DCE">
      <w:pPr>
        <w:spacing w:before="120" w:after="120"/>
      </w:pPr>
      <w:r>
        <w:rPr>
          <w:rFonts w:ascii="Arial" w:hAnsi="Arial"/>
          <w:b/>
        </w:rPr>
        <w:t xml:space="preserve">Y broses ymgeisio </w:t>
      </w:r>
    </w:p>
    <w:p w14:paraId="5FBA317D" w14:textId="41FF8F75" w:rsidR="00B45E6A" w:rsidRPr="00633DCE" w:rsidRDefault="00B45E6A" w:rsidP="00633DCE">
      <w:pPr>
        <w:spacing w:before="120" w:after="120"/>
      </w:pPr>
      <w:r>
        <w:rPr>
          <w:rFonts w:ascii="Arial" w:hAnsi="Arial"/>
        </w:rPr>
        <w:t xml:space="preserve">Mae fersiynau Cymraeg a Saesneg o’r ffurflen gais ynadon yn galluogi ymgeiswyr i nodi eu bod yn dymuno cael eu hystyried ar gyfer swyddi gwag lle mae’r gallu i siarad Cymraeg yn hanfodol (yn ogystal â swyddi gwag lle nad yw’r gallu i siarad Cymraeg yn hanfodol). </w:t>
      </w:r>
    </w:p>
    <w:p w14:paraId="05096F24" w14:textId="042F4995" w:rsidR="00B45E6A" w:rsidRPr="00633DCE" w:rsidRDefault="00B45E6A" w:rsidP="00633DCE">
      <w:pPr>
        <w:spacing w:before="120" w:after="120"/>
      </w:pPr>
      <w:r>
        <w:rPr>
          <w:rFonts w:ascii="Arial" w:hAnsi="Arial"/>
          <w:b/>
        </w:rPr>
        <w:t xml:space="preserve">Sut dylai ymgeiswyr ddangos eu bod yn meddu ar y sgiliau ieithyddol angenrheidiol </w:t>
      </w:r>
    </w:p>
    <w:p w14:paraId="55F96CAD" w14:textId="3C33D7BA" w:rsidR="00F803AB" w:rsidRPr="00633DCE" w:rsidRDefault="00B45E6A" w:rsidP="00633DCE">
      <w:pPr>
        <w:spacing w:before="120" w:after="120"/>
        <w:rPr>
          <w:b/>
          <w:bCs/>
        </w:rPr>
      </w:pPr>
      <w:r>
        <w:rPr>
          <w:rFonts w:ascii="Arial" w:hAnsi="Arial"/>
        </w:rPr>
        <w:t xml:space="preserve">Bydd y priodoledd allweddol o </w:t>
      </w:r>
      <w:r>
        <w:rPr>
          <w:rFonts w:ascii="Arial" w:hAnsi="Arial"/>
          <w:b/>
          <w:bCs/>
          <w:i/>
          <w:iCs/>
        </w:rPr>
        <w:t>gyfathrebu gyda sensitifrwydd a pharch</w:t>
      </w:r>
      <w:r>
        <w:rPr>
          <w:rFonts w:ascii="Arial" w:hAnsi="Arial"/>
        </w:rPr>
        <w:t xml:space="preserve"> yn cael ei </w:t>
      </w:r>
      <w:r w:rsidR="00EF3A33">
        <w:rPr>
          <w:rFonts w:ascii="Arial" w:hAnsi="Arial"/>
        </w:rPr>
        <w:t>ph</w:t>
      </w:r>
      <w:r>
        <w:rPr>
          <w:rFonts w:ascii="Arial" w:hAnsi="Arial"/>
        </w:rPr>
        <w:t xml:space="preserve">rofi yn y cyfweliad. Dylai’r ymgeisydd allu cyfathrebu’n effeithiol yn Gymraeg. Dylai’r ymgeisydd ddatgan a ydynt eisiau i’r cyfweliad gael ei gynnal yn Gymraeg (gydag o leiaf un cwestiwn yn cael ei ofyn yn Saesneg) neu a ydynt eisiau i’r cyfweliad gael ei gynnal yn Saesneg (gydag o leiaf un cwestiwn yn cael ei ofyn yn Gymraeg) i ddangos eu bod yn meddu ar y sgiliau iaith angenrheidiol. Ar gyfer y briodoledd hon, rhaid i ynadon:  </w:t>
      </w:r>
    </w:p>
    <w:p w14:paraId="762409B9" w14:textId="1CE20793" w:rsidR="00F803AB" w:rsidRPr="00633DCE" w:rsidRDefault="00F803AB" w:rsidP="00633DCE">
      <w:pPr>
        <w:spacing w:before="120" w:after="120"/>
        <w:rPr>
          <w:i/>
          <w:iCs/>
        </w:rPr>
      </w:pPr>
      <w:r>
        <w:rPr>
          <w:rFonts w:ascii="Arial" w:hAnsi="Arial"/>
          <w:i/>
        </w:rPr>
        <w:t>Wrando’n weithredol ac yn astud, egluro barn a chyfathrebu’n hyderus ac yn sensitif o fewn ffiniau cyfrinachedd. Addasu eu harddull i gyd-fynd â’r sefyllfa a mynegi’n glir y rhesymeg dros benderfyniadau a wneir.</w:t>
      </w:r>
    </w:p>
    <w:p w14:paraId="2B13995E" w14:textId="3F7CCFAE" w:rsidR="009E60DB" w:rsidRPr="00633DCE" w:rsidRDefault="00F47038" w:rsidP="00633DCE">
      <w:pPr>
        <w:spacing w:before="120" w:after="120"/>
      </w:pPr>
      <w:r>
        <w:rPr>
          <w:rFonts w:ascii="Arial" w:hAnsi="Arial"/>
          <w:b/>
        </w:rPr>
        <w:t xml:space="preserve">Rhaid i ymgeiswyr allu bodloni'r gofynion uchod gan ddefnyddio'r Gymraeg a'r Saesneg. </w:t>
      </w:r>
      <w:r>
        <w:rPr>
          <w:rFonts w:ascii="Arial" w:hAnsi="Arial"/>
        </w:rPr>
        <w:t xml:space="preserve">Bydd y ffurflen gyfweld yn cynnwys blwch ticio ydy/nac ydy y dylid ei lenwi i ddangos a yw’r panel yn fodlon â sgiliau iaith yr ymgeisydd. </w:t>
      </w:r>
    </w:p>
    <w:p w14:paraId="65D59551" w14:textId="5DAF3EA1" w:rsidR="00B45E6A" w:rsidRPr="00633DCE" w:rsidRDefault="009E60DB" w:rsidP="00633DCE">
      <w:pPr>
        <w:spacing w:before="120" w:after="120"/>
      </w:pPr>
      <w:r>
        <w:rPr>
          <w:rFonts w:ascii="Arial" w:hAnsi="Arial"/>
          <w:b/>
        </w:rPr>
        <w:t>Asesu p’un a oes gan ymgeiswyr y sgiliau ieithyddol angenrheidiol</w:t>
      </w:r>
    </w:p>
    <w:p w14:paraId="4DCE441A" w14:textId="798E552D" w:rsidR="00B45E6A" w:rsidRPr="00633DCE" w:rsidRDefault="00B45E6A" w:rsidP="00633DCE">
      <w:pPr>
        <w:spacing w:before="120" w:after="120"/>
      </w:pPr>
      <w:r>
        <w:rPr>
          <w:rFonts w:ascii="Arial" w:hAnsi="Arial"/>
        </w:rPr>
        <w:lastRenderedPageBreak/>
        <w:t xml:space="preserve">I fodloni Pwyllgorau Ymgynghorol bod gan ymgeiswyr y sgiliau ieithyddol angenrheidiol, mae gofyn i’r ymgeisydd ddarparu geirda gan rywun sy’n fodlon dweud bod ganddo ef neu ganddi hi y sgiliau ieithyddol angenrheidiol. </w:t>
      </w:r>
    </w:p>
    <w:p w14:paraId="7D178710" w14:textId="551E450C" w:rsidR="00B45E6A" w:rsidRPr="00633DCE" w:rsidRDefault="00B45E6A" w:rsidP="00633DCE">
      <w:pPr>
        <w:spacing w:before="120" w:after="120"/>
      </w:pPr>
      <w:r>
        <w:rPr>
          <w:rFonts w:ascii="Arial" w:hAnsi="Arial"/>
        </w:rPr>
        <w:t xml:space="preserve">Gan bod gofyn i ymgeiswyr enwebu dau ganolwr yn barod, mae’n rhesymol disgwyl y gallai un o’r rheini ddarparu’r geirda angenrheidiol. Mae’r ffurflen gais a’r nodiadau canllaw yn galluogi’r ymgeisydd i nodi gyda pha ganolwr y dylid cysylltu.  </w:t>
      </w:r>
    </w:p>
    <w:p w14:paraId="7966EB5D" w14:textId="3644B636" w:rsidR="00B45E6A" w:rsidRPr="00633DCE" w:rsidRDefault="00B45E6A" w:rsidP="00633DCE">
      <w:pPr>
        <w:spacing w:before="120" w:after="120"/>
      </w:pPr>
      <w:r>
        <w:rPr>
          <w:rFonts w:ascii="Arial" w:hAnsi="Arial"/>
          <w:b/>
        </w:rPr>
        <w:t>Dethol ymgeiswyr</w:t>
      </w:r>
    </w:p>
    <w:p w14:paraId="7C6051C2" w14:textId="77777777" w:rsidR="00B45E6A" w:rsidRPr="00633DCE" w:rsidRDefault="00B45E6A" w:rsidP="00633DCE">
      <w:pPr>
        <w:spacing w:before="120" w:after="120"/>
      </w:pPr>
      <w:r>
        <w:rPr>
          <w:rFonts w:ascii="Arial" w:hAnsi="Arial"/>
        </w:rPr>
        <w:t xml:space="preserve">Dylai ymgeiswyr sydd wedi gwneud cais am swyddi gwag lle mae’r gallu i siarad Cymraeg yn hanfodol ac sydd wedi darparu geirda boddhaol gael eu cyfweld a’u sgorio yn union yr un ffordd â’r holl ymgeiswyr eraill, gyda’r ymgeiswyr sy’n sgorio uchaf yn cael eu penodi i’r swyddi gwag sydd ar gael lle mae’r gallu i siarad Cymraeg yn hanfodol. </w:t>
      </w:r>
    </w:p>
    <w:p w14:paraId="162D6CCD" w14:textId="77777777" w:rsidR="00B45E6A" w:rsidRPr="00633DCE" w:rsidRDefault="00B45E6A" w:rsidP="00633DCE">
      <w:pPr>
        <w:spacing w:before="120" w:after="120"/>
      </w:pPr>
      <w:r>
        <w:rPr>
          <w:rFonts w:ascii="Arial" w:hAnsi="Arial"/>
          <w:b/>
        </w:rPr>
        <w:t xml:space="preserve">Dethol ymgeiswyr pan fydd dau fath o swyddi gwag ar gael </w:t>
      </w:r>
    </w:p>
    <w:p w14:paraId="67B3A88C" w14:textId="77777777" w:rsidR="00B45E6A" w:rsidRPr="00633DCE" w:rsidRDefault="00B45E6A" w:rsidP="00633DCE">
      <w:pPr>
        <w:spacing w:before="120" w:after="120"/>
      </w:pPr>
      <w:r>
        <w:rPr>
          <w:rFonts w:ascii="Arial" w:hAnsi="Arial"/>
        </w:rPr>
        <w:t xml:space="preserve">O bryd i’w gilydd mae’n bosib y bydd yna swyddi gwag lle mae’r gallu i siarad Cymraeg yn hanfodol a lle nad yw’r gallu i siarad Cymraeg yn hanfodol ar gael ar yr un pryd mewn unrhyw ardal. </w:t>
      </w:r>
    </w:p>
    <w:p w14:paraId="7255E5E9" w14:textId="7F3065A9" w:rsidR="00B45E6A" w:rsidRPr="00633DCE" w:rsidRDefault="00B45E6A" w:rsidP="00633DCE">
      <w:pPr>
        <w:spacing w:before="120" w:after="120"/>
      </w:pPr>
      <w:r>
        <w:rPr>
          <w:rFonts w:ascii="Arial" w:hAnsi="Arial"/>
        </w:rPr>
        <w:t xml:space="preserve">Unwaith y bydd cyfweliadau ar gyfer y swyddi gwag lle mae’r gallu i siarad Cymraeg yn hanfodol a lle nad yw’r gallu i siarad Cymraeg yn hanfodol wedi’u cynnal, dylai’r Pwyllgor Ymgynghorol ddewis yr ymgeiswyr llwyddiannus ar gyfer y swyddi gwag lle mae’r gallu i siarad Cymraeg yn hanfodol yn gyntaf (yn seiliedig ar sgoriau’r ymgeiswyr hynny sydd wedi dewis cael eu hystyried ar gyfer swydd wag lle mae’r gallu i siarad Cymraeg yn hanfodol). Dylai Pwyllgorau Ymgynghorol wedyn ystyried eu hargymhellion ar gyfer y swyddi gwag lle nad yw’r gallu i siarad Cymraeg yn hanfodol (eto yn seiliedig ar sgoriau’r ymgeiswyr hynny sydd wedi dewis cael eu hystyried ar gyfer swydd wag lle nad yw’r gallu i siarad Cymraeg yn hanfodol). </w:t>
      </w:r>
    </w:p>
    <w:p w14:paraId="646220CA" w14:textId="087F28C0" w:rsidR="00B45E6A" w:rsidRPr="00633DCE" w:rsidRDefault="00B45E6A" w:rsidP="00633DCE">
      <w:pPr>
        <w:spacing w:before="120" w:after="120"/>
      </w:pPr>
      <w:r>
        <w:rPr>
          <w:rFonts w:ascii="Arial" w:hAnsi="Arial"/>
        </w:rPr>
        <w:t xml:space="preserve">Bydd y drefn hon yn galluogi unrhyw ymgeiswyr ar gyfer swyddi gwag lle mae’r gallu i siarad Cymraeg yn hanfodol sy’n bodloni’r safon ofynnol ar gyfer cael eu dethol, ond na chafodd eu dethol ar gyfer y swyddi gwag lle mae’r gallu i siarad Cymraeg yn hanfodol oherwydd bod ymgeiswyr eraill wedi sgorio’n uwch, gael eu hystyried hefyd ar gyfer y swyddi gwag lle nad yw’r gallu i siarad Cymraeg yn hanfodol. Bydd hyn yn sicrhau, ar gyfer swyddi lle mae’r gallu i siarad Cymraeg yn hanfodol a lle nad yw’r gallu i siarad Cymraeg yn hanfodol, bod swyddi gwag wastad yn cael eu llenwi gan yr ymgeiswyr cymwys sy’n sgorio uchaf ac y bydd ymgeiswyr yn parhau i gael eu hargymell ar gyfer eu penodi ar sail teilyngdod, ar ôl cael eu hasesu yn erbyn y pum prif </w:t>
      </w:r>
      <w:r w:rsidR="00EF3A33">
        <w:rPr>
          <w:rFonts w:ascii="Arial" w:hAnsi="Arial"/>
        </w:rPr>
        <w:t>b</w:t>
      </w:r>
      <w:r>
        <w:rPr>
          <w:rFonts w:ascii="Arial" w:hAnsi="Arial"/>
        </w:rPr>
        <w:t xml:space="preserve">riodoledd. </w:t>
      </w:r>
    </w:p>
    <w:sectPr w:rsidR="00B45E6A" w:rsidRPr="00633DCE" w:rsidSect="0083282E">
      <w:pgSz w:w="11904" w:h="17340"/>
      <w:pgMar w:top="720" w:right="510" w:bottom="720" w:left="51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5CE72F"/>
    <w:multiLevelType w:val="hybridMultilevel"/>
    <w:tmpl w:val="79FFA9A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4EFF5A3B"/>
    <w:multiLevelType w:val="hybridMultilevel"/>
    <w:tmpl w:val="36B4042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594E5154"/>
    <w:multiLevelType w:val="multilevel"/>
    <w:tmpl w:val="AACE1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39866735">
    <w:abstractNumId w:val="0"/>
  </w:num>
  <w:num w:numId="2" w16cid:durableId="1524904038">
    <w:abstractNumId w:val="1"/>
  </w:num>
  <w:num w:numId="3" w16cid:durableId="46061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3B"/>
    <w:rsid w:val="000C4066"/>
    <w:rsid w:val="00215A91"/>
    <w:rsid w:val="00252195"/>
    <w:rsid w:val="00270553"/>
    <w:rsid w:val="002719F1"/>
    <w:rsid w:val="00282706"/>
    <w:rsid w:val="002A778F"/>
    <w:rsid w:val="003018DF"/>
    <w:rsid w:val="00326C69"/>
    <w:rsid w:val="00335FB0"/>
    <w:rsid w:val="003D10A3"/>
    <w:rsid w:val="00454B5C"/>
    <w:rsid w:val="004655B7"/>
    <w:rsid w:val="004E38EE"/>
    <w:rsid w:val="0050034B"/>
    <w:rsid w:val="00504399"/>
    <w:rsid w:val="00560D3B"/>
    <w:rsid w:val="00581046"/>
    <w:rsid w:val="005B1DAC"/>
    <w:rsid w:val="005C30BD"/>
    <w:rsid w:val="005C57D1"/>
    <w:rsid w:val="005C5EF6"/>
    <w:rsid w:val="00615C2C"/>
    <w:rsid w:val="00633DCE"/>
    <w:rsid w:val="006A72C8"/>
    <w:rsid w:val="006B05A7"/>
    <w:rsid w:val="007328B4"/>
    <w:rsid w:val="0078130D"/>
    <w:rsid w:val="0083282E"/>
    <w:rsid w:val="008475D7"/>
    <w:rsid w:val="00850A16"/>
    <w:rsid w:val="008E22B5"/>
    <w:rsid w:val="009E60DB"/>
    <w:rsid w:val="00A019BF"/>
    <w:rsid w:val="00A57B18"/>
    <w:rsid w:val="00AA63AD"/>
    <w:rsid w:val="00AA75D0"/>
    <w:rsid w:val="00AC24DA"/>
    <w:rsid w:val="00B12D85"/>
    <w:rsid w:val="00B45E6A"/>
    <w:rsid w:val="00B62965"/>
    <w:rsid w:val="00C91309"/>
    <w:rsid w:val="00CC39B2"/>
    <w:rsid w:val="00CE0006"/>
    <w:rsid w:val="00D67B37"/>
    <w:rsid w:val="00E2671A"/>
    <w:rsid w:val="00EB7C80"/>
    <w:rsid w:val="00EF3A33"/>
    <w:rsid w:val="00EF77CA"/>
    <w:rsid w:val="00F47038"/>
    <w:rsid w:val="00F803AB"/>
    <w:rsid w:val="05CB6E41"/>
    <w:rsid w:val="1907C97D"/>
    <w:rsid w:val="1C4FDBC8"/>
    <w:rsid w:val="790BB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5306B"/>
  <w14:defaultImageDpi w14:val="0"/>
  <w15:docId w15:val="{F182BD66-F0CF-4396-BC45-0F59C3FB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Default"/>
    <w:next w:val="Default"/>
    <w:link w:val="Heading3Char"/>
    <w:uiPriority w:val="99"/>
    <w:qFormat/>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Text">
    <w:name w:val="Text"/>
    <w:basedOn w:val="Default"/>
    <w:next w:val="Default"/>
    <w:uiPriority w:val="99"/>
    <w:rPr>
      <w:color w:val="auto"/>
    </w:rPr>
  </w:style>
  <w:style w:type="paragraph" w:customStyle="1" w:styleId="title-form">
    <w:name w:val="title - form"/>
    <w:basedOn w:val="Default"/>
    <w:next w:val="Default"/>
    <w:uiPriority w:val="99"/>
    <w:rPr>
      <w:color w:val="auto"/>
    </w:rPr>
  </w:style>
  <w:style w:type="character" w:styleId="CommentReference">
    <w:name w:val="annotation reference"/>
    <w:uiPriority w:val="99"/>
    <w:semiHidden/>
    <w:unhideWhenUsed/>
    <w:rsid w:val="00215A91"/>
    <w:rPr>
      <w:rFonts w:cs="Times New Roman"/>
      <w:sz w:val="16"/>
      <w:szCs w:val="16"/>
    </w:rPr>
  </w:style>
  <w:style w:type="paragraph" w:styleId="CommentText">
    <w:name w:val="annotation text"/>
    <w:basedOn w:val="Normal"/>
    <w:link w:val="CommentTextChar"/>
    <w:uiPriority w:val="99"/>
    <w:semiHidden/>
    <w:unhideWhenUsed/>
    <w:rsid w:val="00215A91"/>
    <w:rPr>
      <w:sz w:val="20"/>
      <w:szCs w:val="20"/>
    </w:rPr>
  </w:style>
  <w:style w:type="character" w:customStyle="1" w:styleId="CommentTextChar">
    <w:name w:val="Comment Text Char"/>
    <w:link w:val="CommentText"/>
    <w:uiPriority w:val="99"/>
    <w:semiHidden/>
    <w:locked/>
    <w:rsid w:val="00215A91"/>
    <w:rPr>
      <w:rFonts w:cs="Times New Roman"/>
      <w:sz w:val="20"/>
      <w:szCs w:val="20"/>
    </w:rPr>
  </w:style>
  <w:style w:type="paragraph" w:styleId="CommentSubject">
    <w:name w:val="annotation subject"/>
    <w:basedOn w:val="CommentText"/>
    <w:next w:val="CommentText"/>
    <w:link w:val="CommentSubjectChar"/>
    <w:uiPriority w:val="99"/>
    <w:semiHidden/>
    <w:unhideWhenUsed/>
    <w:rsid w:val="00215A91"/>
    <w:rPr>
      <w:b/>
      <w:bCs/>
    </w:rPr>
  </w:style>
  <w:style w:type="character" w:customStyle="1" w:styleId="CommentSubjectChar">
    <w:name w:val="Comment Subject Char"/>
    <w:link w:val="CommentSubject"/>
    <w:uiPriority w:val="99"/>
    <w:semiHidden/>
    <w:locked/>
    <w:rsid w:val="00215A91"/>
    <w:rPr>
      <w:rFonts w:cs="Times New Roman"/>
      <w:b/>
      <w:bCs/>
      <w:sz w:val="20"/>
      <w:szCs w:val="20"/>
    </w:rPr>
  </w:style>
  <w:style w:type="paragraph" w:styleId="BalloonText">
    <w:name w:val="Balloon Text"/>
    <w:basedOn w:val="Normal"/>
    <w:link w:val="BalloonTextChar"/>
    <w:uiPriority w:val="99"/>
    <w:semiHidden/>
    <w:unhideWhenUsed/>
    <w:rsid w:val="00215A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15A91"/>
    <w:rPr>
      <w:rFonts w:ascii="Segoe UI" w:hAnsi="Segoe UI" w:cs="Segoe UI"/>
      <w:sz w:val="18"/>
      <w:szCs w:val="18"/>
    </w:rPr>
  </w:style>
  <w:style w:type="paragraph" w:styleId="Revision">
    <w:name w:val="Revision"/>
    <w:hidden/>
    <w:uiPriority w:val="99"/>
    <w:semiHidden/>
    <w:rsid w:val="00EF3A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0450">
      <w:marLeft w:val="0"/>
      <w:marRight w:val="0"/>
      <w:marTop w:val="0"/>
      <w:marBottom w:val="0"/>
      <w:divBdr>
        <w:top w:val="none" w:sz="0" w:space="0" w:color="auto"/>
        <w:left w:val="none" w:sz="0" w:space="0" w:color="auto"/>
        <w:bottom w:val="none" w:sz="0" w:space="0" w:color="auto"/>
        <w:right w:val="none" w:sz="0" w:space="0" w:color="auto"/>
      </w:divBdr>
    </w:div>
    <w:div w:id="40110045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64E2B84AD2A459E0F61BE46E3115C" ma:contentTypeVersion="15" ma:contentTypeDescription="Create a new document." ma:contentTypeScope="" ma:versionID="d9fea9c780d0d03a6efd38d73dc9fb84">
  <xsd:schema xmlns:xsd="http://www.w3.org/2001/XMLSchema" xmlns:xs="http://www.w3.org/2001/XMLSchema" xmlns:p="http://schemas.microsoft.com/office/2006/metadata/properties" xmlns:ns2="d840312b-35c1-4b22-a385-8e7777ee8729" xmlns:ns3="84f4a71a-ea63-439a-b61c-9a6d30f645d3" targetNamespace="http://schemas.microsoft.com/office/2006/metadata/properties" ma:root="true" ma:fieldsID="5617b8e1be20e1015e0a6fcfdd0b0519" ns2:_="" ns3:_="">
    <xsd:import namespace="d840312b-35c1-4b22-a385-8e7777ee8729"/>
    <xsd:import namespace="84f4a71a-ea63-439a-b61c-9a6d30f64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12b-35c1-4b22-a385-8e7777ee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format="Dropdown" ma:internalName="Tags">
      <xsd:simpleType>
        <xsd:restriction base="dms:Choice">
          <xsd:enumeration value="TOs"/>
          <xsd:enumeration value="FOI"/>
          <xsd:enumeration value="PQ"/>
          <xsd:enumeration value="Project"/>
          <xsd:enumeration value="Top Lines"/>
        </xsd:restriction>
      </xsd:simpleType>
    </xsd:element>
  </xsd:schema>
  <xsd:schema xmlns:xsd="http://www.w3.org/2001/XMLSchema" xmlns:xs="http://www.w3.org/2001/XMLSchema" xmlns:dms="http://schemas.microsoft.com/office/2006/documentManagement/types" xmlns:pc="http://schemas.microsoft.com/office/infopath/2007/PartnerControls" targetNamespace="84f4a71a-ea63-439a-b61c-9a6d30f645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4c9877-5c26-4175-a1d5-4a9f6aa8d063}" ma:internalName="TaxCatchAll" ma:showField="CatchAllData" ma:web="84f4a71a-ea63-439a-b61c-9a6d30f645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40312b-35c1-4b22-a385-8e7777ee8729">
      <Terms xmlns="http://schemas.microsoft.com/office/infopath/2007/PartnerControls"/>
    </lcf76f155ced4ddcb4097134ff3c332f>
    <TaxCatchAll xmlns="84f4a71a-ea63-439a-b61c-9a6d30f645d3" xsi:nil="true"/>
    <Tags xmlns="d840312b-35c1-4b22-a385-8e7777ee87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8FF58-42C5-4BB2-9D03-9FC6B9599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12b-35c1-4b22-a385-8e7777ee8729"/>
    <ds:schemaRef ds:uri="84f4a71a-ea63-439a-b61c-9a6d30f6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B6136-8F96-4A5B-97EB-3B808646E36D}">
  <ds:schemaRefs>
    <ds:schemaRef ds:uri="http://schemas.microsoft.com/office/2006/metadata/properties"/>
    <ds:schemaRef ds:uri="http://schemas.microsoft.com/office/infopath/2007/PartnerControls"/>
    <ds:schemaRef ds:uri="d840312b-35c1-4b22-a385-8e7777ee8729"/>
    <ds:schemaRef ds:uri="84f4a71a-ea63-439a-b61c-9a6d30f645d3"/>
  </ds:schemaRefs>
</ds:datastoreItem>
</file>

<file path=customXml/itemProps3.xml><?xml version="1.0" encoding="utf-8"?>
<ds:datastoreItem xmlns:ds="http://schemas.openxmlformats.org/officeDocument/2006/customXml" ds:itemID="{6A49E2E4-D6AE-4D96-8BAA-59A96A82A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4742</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Guidance for the recruitment of Welsh language-essential magistrates</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recruitment of Welsh language-essential magistrates</dc:title>
  <dc:subject>Lord Chancellor’s Directions, Appendix 3A</dc:subject>
  <dc:creator>Ministry of Justice</dc:creator>
  <cp:keywords>Ministry of Justice; guidance; recruitment; Welsh; language; essential; magistrates; Lord Chancellor’s Directions; Appendix; 3A</cp:keywords>
  <dc:description/>
  <cp:lastModifiedBy>Smith, Chris (Judicial Office)</cp:lastModifiedBy>
  <cp:revision>3</cp:revision>
  <dcterms:created xsi:type="dcterms:W3CDTF">2026-03-02T11:31:00Z</dcterms:created>
  <dcterms:modified xsi:type="dcterms:W3CDTF">2026-03-02T11:31:00Z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0x0101003ED64E2B84AD2A459E0F61BE46E3115C</vt:lpwstr>
  </property>
  <property fmtid="{D5CDD505-2E9C-101B-9397-08002B2CF9AE}" pid="3" name="MediaServiceImageTags">
    <vt:lpwstr/>
  </property>
  <property fmtid="{D5CDD505-2E9C-101B-9397-08002B2CF9AE}" pid="4" name="docLang">
    <vt:lpwstr>cy</vt:lpwstr>
  </property>
</Properties>
</file>