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F1897" w14:textId="01C6A075" w:rsidR="004D09A3" w:rsidRDefault="74E55D24" w:rsidP="2BB6800B">
      <w:pPr>
        <w:spacing w:after="120" w:line="240" w:lineRule="auto"/>
        <w:rPr>
          <w:rFonts w:ascii="Calibri" w:eastAsia="Calibri" w:hAnsi="Calibri" w:cs="Calibri"/>
          <w:color w:val="467886"/>
          <w:sz w:val="22"/>
          <w:szCs w:val="22"/>
        </w:rPr>
      </w:pPr>
      <w:r w:rsidRPr="2BB6800B">
        <w:rPr>
          <w:rFonts w:ascii="Calibri" w:eastAsia="Calibri" w:hAnsi="Calibri" w:cs="Calibri"/>
          <w:color w:val="000000" w:themeColor="text1"/>
          <w:sz w:val="22"/>
          <w:szCs w:val="22"/>
        </w:rPr>
        <w:t xml:space="preserve">The consultation closes on </w:t>
      </w:r>
      <w:r w:rsidRPr="2BB6800B">
        <w:rPr>
          <w:rFonts w:ascii="Calibri" w:eastAsia="Calibri" w:hAnsi="Calibri" w:cs="Calibri"/>
          <w:b/>
          <w:bCs/>
          <w:color w:val="467886"/>
          <w:sz w:val="22"/>
          <w:szCs w:val="22"/>
        </w:rPr>
        <w:t>July 16</w:t>
      </w:r>
      <w:proofErr w:type="gramStart"/>
      <w:r w:rsidRPr="2BB6800B">
        <w:rPr>
          <w:rFonts w:ascii="Calibri" w:eastAsia="Calibri" w:hAnsi="Calibri" w:cs="Calibri"/>
          <w:color w:val="467886"/>
          <w:sz w:val="22"/>
          <w:szCs w:val="22"/>
        </w:rPr>
        <w:t xml:space="preserve"> </w:t>
      </w:r>
      <w:r w:rsidRPr="2BB6800B">
        <w:rPr>
          <w:rFonts w:ascii="Calibri" w:eastAsia="Calibri" w:hAnsi="Calibri" w:cs="Calibri"/>
          <w:b/>
          <w:bCs/>
          <w:color w:val="467886"/>
          <w:sz w:val="22"/>
          <w:szCs w:val="22"/>
        </w:rPr>
        <w:t>2026</w:t>
      </w:r>
      <w:proofErr w:type="gramEnd"/>
      <w:r w:rsidRPr="2BB6800B">
        <w:rPr>
          <w:rFonts w:ascii="Calibri" w:eastAsia="Calibri" w:hAnsi="Calibri" w:cs="Calibri"/>
          <w:b/>
          <w:bCs/>
          <w:color w:val="467886"/>
          <w:sz w:val="22"/>
          <w:szCs w:val="22"/>
        </w:rPr>
        <w:t xml:space="preserve"> at midnight.</w:t>
      </w:r>
    </w:p>
    <w:p w14:paraId="567B6CFF" w14:textId="41A62AA8" w:rsidR="004D09A3" w:rsidRDefault="74E55D24" w:rsidP="2BB6800B">
      <w:pPr>
        <w:spacing w:after="120" w:line="240" w:lineRule="auto"/>
        <w:rPr>
          <w:rFonts w:ascii="Calibri" w:eastAsia="Calibri" w:hAnsi="Calibri" w:cs="Calibri"/>
          <w:color w:val="000000" w:themeColor="text1"/>
          <w:sz w:val="22"/>
          <w:szCs w:val="22"/>
        </w:rPr>
      </w:pPr>
      <w:r w:rsidRPr="2BB6800B">
        <w:rPr>
          <w:rFonts w:ascii="Calibri" w:eastAsia="Calibri" w:hAnsi="Calibri" w:cs="Calibri"/>
          <w:color w:val="000000" w:themeColor="text1"/>
          <w:sz w:val="22"/>
          <w:szCs w:val="22"/>
        </w:rPr>
        <w:t>Consultees do not need to answer all questions if only some are of interest or relevance.</w:t>
      </w:r>
    </w:p>
    <w:p w14:paraId="2A4941DC" w14:textId="0B6CFB5D" w:rsidR="004D09A3" w:rsidRDefault="74E55D24" w:rsidP="2BB6800B">
      <w:pPr>
        <w:spacing w:after="120" w:line="240" w:lineRule="auto"/>
        <w:rPr>
          <w:rFonts w:ascii="Calibri" w:eastAsia="Calibri" w:hAnsi="Calibri" w:cs="Calibri"/>
          <w:color w:val="467886"/>
          <w:sz w:val="22"/>
          <w:szCs w:val="22"/>
        </w:rPr>
      </w:pPr>
      <w:r w:rsidRPr="2BB6800B">
        <w:rPr>
          <w:rFonts w:ascii="Calibri" w:eastAsia="Calibri" w:hAnsi="Calibri" w:cs="Calibri"/>
          <w:color w:val="000000" w:themeColor="text1"/>
          <w:sz w:val="22"/>
          <w:szCs w:val="22"/>
        </w:rPr>
        <w:t xml:space="preserve">Answers should be submitted by PDF or word document to </w:t>
      </w:r>
      <w:hyperlink r:id="rId9">
        <w:r w:rsidRPr="2BB6800B">
          <w:rPr>
            <w:rStyle w:val="Hyperlink"/>
            <w:rFonts w:ascii="Calibri" w:eastAsia="Calibri" w:hAnsi="Calibri" w:cs="Calibri"/>
            <w:b/>
            <w:bCs/>
            <w:color w:val="467886"/>
            <w:sz w:val="22"/>
            <w:szCs w:val="22"/>
          </w:rPr>
          <w:t>CJC.SolicitorsAct.Consultation@Judiciary.uk</w:t>
        </w:r>
      </w:hyperlink>
    </w:p>
    <w:p w14:paraId="5180A091" w14:textId="421F6527" w:rsidR="004D09A3" w:rsidRDefault="74E55D24" w:rsidP="2BB6800B">
      <w:pPr>
        <w:spacing w:after="120" w:line="240" w:lineRule="auto"/>
        <w:rPr>
          <w:rFonts w:ascii="Calibri" w:eastAsia="Calibri" w:hAnsi="Calibri" w:cs="Calibri"/>
          <w:color w:val="467886"/>
          <w:sz w:val="22"/>
          <w:szCs w:val="22"/>
        </w:rPr>
      </w:pPr>
      <w:r w:rsidRPr="2BB6800B">
        <w:rPr>
          <w:rFonts w:ascii="Calibri" w:eastAsia="Calibri" w:hAnsi="Calibri" w:cs="Calibri"/>
          <w:color w:val="000000" w:themeColor="text1"/>
          <w:sz w:val="22"/>
          <w:szCs w:val="22"/>
        </w:rPr>
        <w:t xml:space="preserve">If you have any questions about the consultation or submission process, please contact </w:t>
      </w:r>
      <w:hyperlink r:id="rId10">
        <w:r w:rsidRPr="2BB6800B">
          <w:rPr>
            <w:rStyle w:val="Hyperlink"/>
            <w:rFonts w:ascii="Calibri" w:eastAsia="Calibri" w:hAnsi="Calibri" w:cs="Calibri"/>
            <w:b/>
            <w:bCs/>
            <w:sz w:val="22"/>
            <w:szCs w:val="22"/>
          </w:rPr>
          <w:t>CJC@judiciary.uk</w:t>
        </w:r>
      </w:hyperlink>
    </w:p>
    <w:p w14:paraId="30DA984D" w14:textId="217925D4" w:rsidR="74E55D24" w:rsidRDefault="74E55D24" w:rsidP="0642AB0A">
      <w:pPr>
        <w:spacing w:after="120" w:line="240" w:lineRule="auto"/>
        <w:rPr>
          <w:rFonts w:ascii="Calibri" w:eastAsia="Calibri" w:hAnsi="Calibri" w:cs="Calibri"/>
          <w:color w:val="000000" w:themeColor="text1"/>
          <w:sz w:val="22"/>
          <w:szCs w:val="22"/>
        </w:rPr>
      </w:pPr>
      <w:r w:rsidRPr="0642AB0A">
        <w:rPr>
          <w:rFonts w:ascii="Calibri" w:eastAsia="Calibri" w:hAnsi="Calibri" w:cs="Calibri"/>
          <w:color w:val="000000" w:themeColor="text1"/>
          <w:sz w:val="22"/>
          <w:szCs w:val="22"/>
        </w:rPr>
        <w:t>Please name your submission as follows: ‘name/organisation - CJC T</w:t>
      </w:r>
      <w:r w:rsidR="141182D6" w:rsidRPr="0642AB0A">
        <w:rPr>
          <w:rFonts w:ascii="Calibri" w:eastAsia="Calibri" w:hAnsi="Calibri" w:cs="Calibri"/>
          <w:color w:val="000000" w:themeColor="text1"/>
          <w:sz w:val="22"/>
          <w:szCs w:val="22"/>
        </w:rPr>
        <w:t>he Reform of the Solicitors Act 1974.</w:t>
      </w:r>
    </w:p>
    <w:p w14:paraId="54B174A4" w14:textId="1BAEB3A3" w:rsidR="004D09A3" w:rsidRDefault="74E55D24" w:rsidP="2BB6800B">
      <w:pPr>
        <w:spacing w:after="0" w:line="240" w:lineRule="auto"/>
        <w:rPr>
          <w:rFonts w:ascii="Calibri" w:eastAsia="Calibri" w:hAnsi="Calibri" w:cs="Calibri"/>
          <w:color w:val="467886"/>
        </w:rPr>
      </w:pPr>
      <w:r w:rsidRPr="2BB6800B">
        <w:rPr>
          <w:rFonts w:ascii="Calibri" w:eastAsia="Calibri" w:hAnsi="Calibri" w:cs="Calibri"/>
          <w:b/>
          <w:bCs/>
          <w:color w:val="467886"/>
        </w:rPr>
        <w:t xml:space="preserve">You </w:t>
      </w:r>
      <w:r w:rsidRPr="2BB6800B">
        <w:rPr>
          <w:rFonts w:ascii="Calibri" w:eastAsia="Calibri" w:hAnsi="Calibri" w:cs="Calibri"/>
          <w:b/>
          <w:bCs/>
          <w:color w:val="467886"/>
          <w:u w:val="single"/>
        </w:rPr>
        <w:t xml:space="preserve">must </w:t>
      </w:r>
      <w:r w:rsidRPr="2BB6800B">
        <w:rPr>
          <w:rFonts w:ascii="Calibri" w:eastAsia="Calibri" w:hAnsi="Calibri" w:cs="Calibri"/>
          <w:b/>
          <w:bCs/>
          <w:color w:val="467886"/>
        </w:rPr>
        <w:t>fill in the following and submit this sheet with your response:</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373"/>
        <w:gridCol w:w="4637"/>
      </w:tblGrid>
      <w:tr w:rsidR="6E730187" w14:paraId="00527133" w14:textId="77777777" w:rsidTr="2BB6800B">
        <w:trPr>
          <w:trHeight w:val="300"/>
        </w:trPr>
        <w:tc>
          <w:tcPr>
            <w:tcW w:w="4380" w:type="dxa"/>
            <w:tcMar>
              <w:left w:w="105" w:type="dxa"/>
              <w:right w:w="105" w:type="dxa"/>
            </w:tcMar>
          </w:tcPr>
          <w:p w14:paraId="131E99BF" w14:textId="559BE350" w:rsidR="6E730187" w:rsidRDefault="36BA6F7D" w:rsidP="2BB6800B">
            <w:pPr>
              <w:rPr>
                <w:rFonts w:ascii="Calibri" w:eastAsia="Calibri" w:hAnsi="Calibri" w:cs="Calibri"/>
                <w:sz w:val="22"/>
                <w:szCs w:val="22"/>
              </w:rPr>
            </w:pPr>
            <w:r w:rsidRPr="2BB6800B">
              <w:rPr>
                <w:rFonts w:ascii="Calibri" w:eastAsia="Calibri" w:hAnsi="Calibri" w:cs="Calibri"/>
                <w:sz w:val="22"/>
                <w:szCs w:val="22"/>
              </w:rPr>
              <w:t>Your response is (public/anonymous/confidential):</w:t>
            </w:r>
          </w:p>
        </w:tc>
        <w:tc>
          <w:tcPr>
            <w:tcW w:w="4665" w:type="dxa"/>
            <w:tcMar>
              <w:left w:w="105" w:type="dxa"/>
              <w:right w:w="105" w:type="dxa"/>
            </w:tcMar>
          </w:tcPr>
          <w:p w14:paraId="14049ECE" w14:textId="5E8CE030" w:rsidR="6E730187" w:rsidRDefault="6E730187" w:rsidP="2BB6800B">
            <w:pPr>
              <w:rPr>
                <w:rFonts w:ascii="Calibri" w:eastAsia="Calibri" w:hAnsi="Calibri" w:cs="Calibri"/>
                <w:sz w:val="22"/>
                <w:szCs w:val="22"/>
              </w:rPr>
            </w:pPr>
          </w:p>
        </w:tc>
      </w:tr>
      <w:tr w:rsidR="6E730187" w14:paraId="7C0F17E3" w14:textId="77777777" w:rsidTr="2BB6800B">
        <w:trPr>
          <w:trHeight w:val="300"/>
        </w:trPr>
        <w:tc>
          <w:tcPr>
            <w:tcW w:w="4380" w:type="dxa"/>
            <w:tcMar>
              <w:left w:w="105" w:type="dxa"/>
              <w:right w:w="105" w:type="dxa"/>
            </w:tcMar>
          </w:tcPr>
          <w:p w14:paraId="7C0182BE" w14:textId="49DADEDB" w:rsidR="6E730187" w:rsidRDefault="36BA6F7D" w:rsidP="2BB6800B">
            <w:pPr>
              <w:rPr>
                <w:rFonts w:ascii="Calibri" w:eastAsia="Calibri" w:hAnsi="Calibri" w:cs="Calibri"/>
                <w:sz w:val="22"/>
                <w:szCs w:val="22"/>
              </w:rPr>
            </w:pPr>
            <w:r w:rsidRPr="2BB6800B">
              <w:rPr>
                <w:rFonts w:ascii="Calibri" w:eastAsia="Calibri" w:hAnsi="Calibri" w:cs="Calibri"/>
                <w:sz w:val="22"/>
                <w:szCs w:val="22"/>
              </w:rPr>
              <w:t>First name:</w:t>
            </w:r>
          </w:p>
        </w:tc>
        <w:tc>
          <w:tcPr>
            <w:tcW w:w="4665" w:type="dxa"/>
            <w:tcMar>
              <w:left w:w="105" w:type="dxa"/>
              <w:right w:w="105" w:type="dxa"/>
            </w:tcMar>
          </w:tcPr>
          <w:p w14:paraId="65494680" w14:textId="1F059D3D" w:rsidR="6E730187" w:rsidRDefault="6E730187" w:rsidP="2BB6800B">
            <w:pPr>
              <w:rPr>
                <w:rFonts w:ascii="Calibri" w:eastAsia="Calibri" w:hAnsi="Calibri" w:cs="Calibri"/>
                <w:sz w:val="22"/>
                <w:szCs w:val="22"/>
              </w:rPr>
            </w:pPr>
          </w:p>
        </w:tc>
      </w:tr>
      <w:tr w:rsidR="6E730187" w14:paraId="01DB2904" w14:textId="77777777" w:rsidTr="2BB6800B">
        <w:trPr>
          <w:trHeight w:val="300"/>
        </w:trPr>
        <w:tc>
          <w:tcPr>
            <w:tcW w:w="4380" w:type="dxa"/>
            <w:tcMar>
              <w:left w:w="105" w:type="dxa"/>
              <w:right w:w="105" w:type="dxa"/>
            </w:tcMar>
          </w:tcPr>
          <w:p w14:paraId="453F1550" w14:textId="419ED44D" w:rsidR="6E730187" w:rsidRDefault="36BA6F7D" w:rsidP="2BB6800B">
            <w:pPr>
              <w:rPr>
                <w:rFonts w:ascii="Calibri" w:eastAsia="Calibri" w:hAnsi="Calibri" w:cs="Calibri"/>
                <w:sz w:val="22"/>
                <w:szCs w:val="22"/>
              </w:rPr>
            </w:pPr>
            <w:r w:rsidRPr="2BB6800B">
              <w:rPr>
                <w:rFonts w:ascii="Calibri" w:eastAsia="Calibri" w:hAnsi="Calibri" w:cs="Calibri"/>
                <w:sz w:val="22"/>
                <w:szCs w:val="22"/>
              </w:rPr>
              <w:t>Last name:</w:t>
            </w:r>
          </w:p>
        </w:tc>
        <w:tc>
          <w:tcPr>
            <w:tcW w:w="4665" w:type="dxa"/>
            <w:tcMar>
              <w:left w:w="105" w:type="dxa"/>
              <w:right w:w="105" w:type="dxa"/>
            </w:tcMar>
          </w:tcPr>
          <w:p w14:paraId="71127507" w14:textId="3BB74A89" w:rsidR="6E730187" w:rsidRDefault="6E730187" w:rsidP="2BB6800B">
            <w:pPr>
              <w:rPr>
                <w:rFonts w:ascii="Calibri" w:eastAsia="Calibri" w:hAnsi="Calibri" w:cs="Calibri"/>
                <w:sz w:val="22"/>
                <w:szCs w:val="22"/>
              </w:rPr>
            </w:pPr>
          </w:p>
        </w:tc>
      </w:tr>
      <w:tr w:rsidR="6E730187" w14:paraId="64D2BC3E" w14:textId="77777777" w:rsidTr="2BB6800B">
        <w:trPr>
          <w:trHeight w:val="300"/>
        </w:trPr>
        <w:tc>
          <w:tcPr>
            <w:tcW w:w="4380" w:type="dxa"/>
            <w:tcMar>
              <w:left w:w="105" w:type="dxa"/>
              <w:right w:w="105" w:type="dxa"/>
            </w:tcMar>
          </w:tcPr>
          <w:p w14:paraId="19D70958" w14:textId="25914FAD" w:rsidR="6E730187" w:rsidRDefault="36BA6F7D" w:rsidP="2BB6800B">
            <w:pPr>
              <w:rPr>
                <w:rFonts w:ascii="Calibri" w:eastAsia="Calibri" w:hAnsi="Calibri" w:cs="Calibri"/>
                <w:sz w:val="22"/>
                <w:szCs w:val="22"/>
              </w:rPr>
            </w:pPr>
            <w:r w:rsidRPr="2BB6800B">
              <w:rPr>
                <w:rFonts w:ascii="Calibri" w:eastAsia="Calibri" w:hAnsi="Calibri" w:cs="Calibri"/>
                <w:sz w:val="22"/>
                <w:szCs w:val="22"/>
              </w:rPr>
              <w:t>Location:</w:t>
            </w:r>
          </w:p>
        </w:tc>
        <w:tc>
          <w:tcPr>
            <w:tcW w:w="4665" w:type="dxa"/>
            <w:tcMar>
              <w:left w:w="105" w:type="dxa"/>
              <w:right w:w="105" w:type="dxa"/>
            </w:tcMar>
          </w:tcPr>
          <w:p w14:paraId="03BAC5EB" w14:textId="12949D7C" w:rsidR="6E730187" w:rsidRDefault="6E730187" w:rsidP="2BB6800B">
            <w:pPr>
              <w:rPr>
                <w:rFonts w:ascii="Calibri" w:eastAsia="Calibri" w:hAnsi="Calibri" w:cs="Calibri"/>
                <w:sz w:val="22"/>
                <w:szCs w:val="22"/>
              </w:rPr>
            </w:pPr>
          </w:p>
        </w:tc>
      </w:tr>
      <w:tr w:rsidR="6E730187" w14:paraId="76D9B228" w14:textId="77777777" w:rsidTr="2BB6800B">
        <w:trPr>
          <w:trHeight w:val="300"/>
        </w:trPr>
        <w:tc>
          <w:tcPr>
            <w:tcW w:w="4380" w:type="dxa"/>
            <w:tcMar>
              <w:left w:w="105" w:type="dxa"/>
              <w:right w:w="105" w:type="dxa"/>
            </w:tcMar>
          </w:tcPr>
          <w:p w14:paraId="351F8F92" w14:textId="2C2BE3B0" w:rsidR="6E730187" w:rsidRDefault="36BA6F7D" w:rsidP="2BB6800B">
            <w:pPr>
              <w:rPr>
                <w:rFonts w:ascii="Calibri" w:eastAsia="Calibri" w:hAnsi="Calibri" w:cs="Calibri"/>
                <w:sz w:val="22"/>
                <w:szCs w:val="22"/>
              </w:rPr>
            </w:pPr>
            <w:r w:rsidRPr="2BB6800B">
              <w:rPr>
                <w:rFonts w:ascii="Calibri" w:eastAsia="Calibri" w:hAnsi="Calibri" w:cs="Calibri"/>
                <w:sz w:val="22"/>
                <w:szCs w:val="22"/>
              </w:rPr>
              <w:t>Role:</w:t>
            </w:r>
          </w:p>
        </w:tc>
        <w:tc>
          <w:tcPr>
            <w:tcW w:w="4665" w:type="dxa"/>
            <w:tcMar>
              <w:left w:w="105" w:type="dxa"/>
              <w:right w:w="105" w:type="dxa"/>
            </w:tcMar>
          </w:tcPr>
          <w:p w14:paraId="6B3482F1" w14:textId="03D11FC6" w:rsidR="6E730187" w:rsidRDefault="6E730187" w:rsidP="2BB6800B">
            <w:pPr>
              <w:rPr>
                <w:rFonts w:ascii="Calibri" w:eastAsia="Calibri" w:hAnsi="Calibri" w:cs="Calibri"/>
                <w:sz w:val="22"/>
                <w:szCs w:val="22"/>
              </w:rPr>
            </w:pPr>
          </w:p>
        </w:tc>
      </w:tr>
      <w:tr w:rsidR="6E730187" w14:paraId="7DE21224" w14:textId="77777777" w:rsidTr="2BB6800B">
        <w:trPr>
          <w:trHeight w:val="300"/>
        </w:trPr>
        <w:tc>
          <w:tcPr>
            <w:tcW w:w="4380" w:type="dxa"/>
            <w:tcMar>
              <w:left w:w="105" w:type="dxa"/>
              <w:right w:w="105" w:type="dxa"/>
            </w:tcMar>
          </w:tcPr>
          <w:p w14:paraId="4CCDC84B" w14:textId="27D1123B" w:rsidR="6E730187" w:rsidRDefault="36BA6F7D" w:rsidP="2BB6800B">
            <w:pPr>
              <w:rPr>
                <w:rFonts w:ascii="Calibri" w:eastAsia="Calibri" w:hAnsi="Calibri" w:cs="Calibri"/>
                <w:sz w:val="22"/>
                <w:szCs w:val="22"/>
              </w:rPr>
            </w:pPr>
            <w:r w:rsidRPr="2BB6800B">
              <w:rPr>
                <w:rFonts w:ascii="Calibri" w:eastAsia="Calibri" w:hAnsi="Calibri" w:cs="Calibri"/>
                <w:sz w:val="22"/>
                <w:szCs w:val="22"/>
              </w:rPr>
              <w:t>Job title:</w:t>
            </w:r>
          </w:p>
        </w:tc>
        <w:tc>
          <w:tcPr>
            <w:tcW w:w="4665" w:type="dxa"/>
            <w:tcMar>
              <w:left w:w="105" w:type="dxa"/>
              <w:right w:w="105" w:type="dxa"/>
            </w:tcMar>
          </w:tcPr>
          <w:p w14:paraId="464D6898" w14:textId="14D3D3AF" w:rsidR="6E730187" w:rsidRDefault="6E730187" w:rsidP="2BB6800B">
            <w:pPr>
              <w:rPr>
                <w:rFonts w:ascii="Calibri" w:eastAsia="Calibri" w:hAnsi="Calibri" w:cs="Calibri"/>
                <w:sz w:val="22"/>
                <w:szCs w:val="22"/>
              </w:rPr>
            </w:pPr>
          </w:p>
        </w:tc>
      </w:tr>
      <w:tr w:rsidR="6E730187" w14:paraId="585B415D" w14:textId="77777777" w:rsidTr="2BB6800B">
        <w:trPr>
          <w:trHeight w:val="300"/>
        </w:trPr>
        <w:tc>
          <w:tcPr>
            <w:tcW w:w="4380" w:type="dxa"/>
            <w:tcMar>
              <w:left w:w="105" w:type="dxa"/>
              <w:right w:w="105" w:type="dxa"/>
            </w:tcMar>
          </w:tcPr>
          <w:p w14:paraId="6C8D218F" w14:textId="77D4AAB0" w:rsidR="6E730187" w:rsidRDefault="36BA6F7D" w:rsidP="2BB6800B">
            <w:pPr>
              <w:rPr>
                <w:rFonts w:ascii="Calibri" w:eastAsia="Calibri" w:hAnsi="Calibri" w:cs="Calibri"/>
                <w:sz w:val="22"/>
                <w:szCs w:val="22"/>
              </w:rPr>
            </w:pPr>
            <w:r w:rsidRPr="2BB6800B">
              <w:rPr>
                <w:rFonts w:ascii="Calibri" w:eastAsia="Calibri" w:hAnsi="Calibri" w:cs="Calibri"/>
                <w:sz w:val="22"/>
                <w:szCs w:val="22"/>
              </w:rPr>
              <w:t>Organisation:</w:t>
            </w:r>
          </w:p>
        </w:tc>
        <w:tc>
          <w:tcPr>
            <w:tcW w:w="4665" w:type="dxa"/>
            <w:tcMar>
              <w:left w:w="105" w:type="dxa"/>
              <w:right w:w="105" w:type="dxa"/>
            </w:tcMar>
          </w:tcPr>
          <w:p w14:paraId="0249E23D" w14:textId="7438403C" w:rsidR="6E730187" w:rsidRDefault="6E730187" w:rsidP="2BB6800B">
            <w:pPr>
              <w:rPr>
                <w:rFonts w:ascii="Calibri" w:eastAsia="Calibri" w:hAnsi="Calibri" w:cs="Calibri"/>
                <w:sz w:val="22"/>
                <w:szCs w:val="22"/>
              </w:rPr>
            </w:pPr>
          </w:p>
        </w:tc>
      </w:tr>
      <w:tr w:rsidR="6E730187" w14:paraId="5B7DE6FC" w14:textId="77777777" w:rsidTr="2BB6800B">
        <w:trPr>
          <w:trHeight w:val="300"/>
        </w:trPr>
        <w:tc>
          <w:tcPr>
            <w:tcW w:w="4380" w:type="dxa"/>
            <w:tcMar>
              <w:left w:w="105" w:type="dxa"/>
              <w:right w:w="105" w:type="dxa"/>
            </w:tcMar>
          </w:tcPr>
          <w:p w14:paraId="4C081157" w14:textId="7F7031EC" w:rsidR="6E730187" w:rsidRDefault="36BA6F7D" w:rsidP="2BB6800B">
            <w:pPr>
              <w:rPr>
                <w:rFonts w:ascii="Calibri" w:eastAsia="Calibri" w:hAnsi="Calibri" w:cs="Calibri"/>
                <w:sz w:val="22"/>
                <w:szCs w:val="22"/>
              </w:rPr>
            </w:pPr>
            <w:r w:rsidRPr="2BB6800B">
              <w:rPr>
                <w:rFonts w:ascii="Calibri" w:eastAsia="Calibri" w:hAnsi="Calibri" w:cs="Calibri"/>
                <w:sz w:val="22"/>
                <w:szCs w:val="22"/>
              </w:rPr>
              <w:t>Are you responding on behalf of your organisation?</w:t>
            </w:r>
          </w:p>
        </w:tc>
        <w:tc>
          <w:tcPr>
            <w:tcW w:w="4665" w:type="dxa"/>
            <w:tcMar>
              <w:left w:w="105" w:type="dxa"/>
              <w:right w:w="105" w:type="dxa"/>
            </w:tcMar>
          </w:tcPr>
          <w:p w14:paraId="04880F7C" w14:textId="42C675B1" w:rsidR="6E730187" w:rsidRDefault="6E730187" w:rsidP="2BB6800B">
            <w:pPr>
              <w:rPr>
                <w:rFonts w:ascii="Calibri" w:eastAsia="Calibri" w:hAnsi="Calibri" w:cs="Calibri"/>
                <w:sz w:val="22"/>
                <w:szCs w:val="22"/>
              </w:rPr>
            </w:pPr>
          </w:p>
        </w:tc>
      </w:tr>
      <w:tr w:rsidR="6E730187" w14:paraId="4985DE95" w14:textId="77777777" w:rsidTr="2BB6800B">
        <w:trPr>
          <w:trHeight w:val="300"/>
        </w:trPr>
        <w:tc>
          <w:tcPr>
            <w:tcW w:w="4380" w:type="dxa"/>
            <w:tcMar>
              <w:left w:w="105" w:type="dxa"/>
              <w:right w:w="105" w:type="dxa"/>
            </w:tcMar>
          </w:tcPr>
          <w:p w14:paraId="29358886" w14:textId="46C4FFA2" w:rsidR="6E730187" w:rsidRDefault="36BA6F7D" w:rsidP="2BB6800B">
            <w:pPr>
              <w:rPr>
                <w:rFonts w:ascii="Calibri" w:eastAsia="Calibri" w:hAnsi="Calibri" w:cs="Calibri"/>
                <w:sz w:val="22"/>
                <w:szCs w:val="22"/>
              </w:rPr>
            </w:pPr>
            <w:r w:rsidRPr="2BB6800B">
              <w:rPr>
                <w:rFonts w:ascii="Calibri" w:eastAsia="Calibri" w:hAnsi="Calibri" w:cs="Calibri"/>
                <w:sz w:val="22"/>
                <w:szCs w:val="22"/>
              </w:rPr>
              <w:t>Your email address:</w:t>
            </w:r>
          </w:p>
        </w:tc>
        <w:tc>
          <w:tcPr>
            <w:tcW w:w="4665" w:type="dxa"/>
            <w:tcMar>
              <w:left w:w="105" w:type="dxa"/>
              <w:right w:w="105" w:type="dxa"/>
            </w:tcMar>
          </w:tcPr>
          <w:p w14:paraId="1735F469" w14:textId="05A33376" w:rsidR="6E730187" w:rsidRDefault="6E730187" w:rsidP="2BB6800B">
            <w:pPr>
              <w:rPr>
                <w:rFonts w:ascii="Calibri" w:eastAsia="Calibri" w:hAnsi="Calibri" w:cs="Calibri"/>
                <w:sz w:val="22"/>
                <w:szCs w:val="22"/>
              </w:rPr>
            </w:pPr>
          </w:p>
        </w:tc>
      </w:tr>
    </w:tbl>
    <w:p w14:paraId="2CE826EA" w14:textId="6490CC6F" w:rsidR="004D09A3" w:rsidRDefault="004D09A3" w:rsidP="2BB6800B">
      <w:pPr>
        <w:spacing w:after="0" w:line="240" w:lineRule="auto"/>
        <w:rPr>
          <w:rFonts w:ascii="Calibri" w:eastAsia="Calibri" w:hAnsi="Calibri" w:cs="Calibri"/>
          <w:color w:val="000000" w:themeColor="text1"/>
          <w:sz w:val="22"/>
          <w:szCs w:val="22"/>
        </w:rPr>
      </w:pPr>
    </w:p>
    <w:p w14:paraId="0DE99A72" w14:textId="02A55949" w:rsidR="004D09A3" w:rsidRDefault="74E55D24" w:rsidP="2BB6800B">
      <w:pPr>
        <w:spacing w:after="0" w:line="240" w:lineRule="auto"/>
        <w:rPr>
          <w:rFonts w:ascii="Calibri" w:eastAsia="Calibri" w:hAnsi="Calibri" w:cs="Calibri"/>
          <w:color w:val="467886"/>
          <w:sz w:val="22"/>
          <w:szCs w:val="22"/>
        </w:rPr>
      </w:pPr>
      <w:r w:rsidRPr="2BB6800B">
        <w:rPr>
          <w:rFonts w:ascii="Calibri" w:eastAsia="Calibri" w:hAnsi="Calibri" w:cs="Calibri"/>
          <w:b/>
          <w:bCs/>
          <w:color w:val="467886"/>
          <w:sz w:val="22"/>
          <w:szCs w:val="22"/>
        </w:rPr>
        <w:t xml:space="preserve">Information provided to the Civil Justice Council: </w:t>
      </w:r>
    </w:p>
    <w:p w14:paraId="2AF2E3C5" w14:textId="474EC41D" w:rsidR="004D09A3" w:rsidRDefault="74E55D24" w:rsidP="2BB6800B">
      <w:pPr>
        <w:spacing w:after="120" w:line="240" w:lineRule="auto"/>
        <w:rPr>
          <w:rFonts w:ascii="Calibri" w:eastAsia="Calibri" w:hAnsi="Calibri" w:cs="Calibri"/>
          <w:color w:val="000000" w:themeColor="text1"/>
          <w:sz w:val="22"/>
          <w:szCs w:val="22"/>
        </w:rPr>
      </w:pPr>
      <w:r w:rsidRPr="2BB6800B">
        <w:rPr>
          <w:rFonts w:ascii="Calibri" w:eastAsia="Calibri" w:hAnsi="Calibri" w:cs="Calibri"/>
          <w:color w:val="000000" w:themeColor="text1"/>
          <w:sz w:val="22"/>
          <w:szCs w:val="22"/>
        </w:rPr>
        <w:t>We aim to be transparent and to explain the basis on which conclusions have been reached. We may publish or disclose information you provide in response to Civil Justice Council papers, including personal information. For example, we may publish an extract of your response in Civil Justice Council publications or publish the response itself. Additionally, we may be required to disclose the information, such as in accordance with the Freedom of Information Act 2000. We will process your personal data in accordance with the General Data Protection Regulation and the Data Protection Act 2018.</w:t>
      </w:r>
    </w:p>
    <w:p w14:paraId="56B666F5" w14:textId="5282D393" w:rsidR="004D09A3" w:rsidRDefault="74E55D24" w:rsidP="2BB6800B">
      <w:pPr>
        <w:spacing w:after="120" w:line="240" w:lineRule="auto"/>
        <w:rPr>
          <w:rFonts w:ascii="Calibri" w:eastAsia="Calibri" w:hAnsi="Calibri" w:cs="Calibri"/>
          <w:color w:val="000000" w:themeColor="text1"/>
          <w:sz w:val="22"/>
          <w:szCs w:val="22"/>
        </w:rPr>
      </w:pPr>
      <w:r w:rsidRPr="2BB6800B">
        <w:rPr>
          <w:rFonts w:ascii="Calibri" w:eastAsia="Calibri" w:hAnsi="Calibri" w:cs="Calibri"/>
          <w:color w:val="000000" w:themeColor="text1"/>
          <w:sz w:val="22"/>
          <w:szCs w:val="22"/>
        </w:rPr>
        <w:t xml:space="preserve">Consultation responses are most effective where we </w:t>
      </w:r>
      <w:proofErr w:type="gramStart"/>
      <w:r w:rsidRPr="2BB6800B">
        <w:rPr>
          <w:rFonts w:ascii="Calibri" w:eastAsia="Calibri" w:hAnsi="Calibri" w:cs="Calibri"/>
          <w:color w:val="000000" w:themeColor="text1"/>
          <w:sz w:val="22"/>
          <w:szCs w:val="22"/>
        </w:rPr>
        <w:t>are able to</w:t>
      </w:r>
      <w:proofErr w:type="gramEnd"/>
      <w:r w:rsidRPr="2BB6800B">
        <w:rPr>
          <w:rFonts w:ascii="Calibri" w:eastAsia="Calibri" w:hAnsi="Calibri" w:cs="Calibri"/>
          <w:color w:val="000000" w:themeColor="text1"/>
          <w:sz w:val="22"/>
          <w:szCs w:val="22"/>
        </w:rPr>
        <w:t xml:space="preserve"> report which consultees responded to us, and what they said. If you consider that it is necessary for all or some of the information that you provide to be treated as </w:t>
      </w:r>
      <w:r w:rsidRPr="2BB6800B">
        <w:rPr>
          <w:rFonts w:ascii="Calibri" w:eastAsia="Calibri" w:hAnsi="Calibri" w:cs="Calibri"/>
          <w:b/>
          <w:bCs/>
          <w:color w:val="000000" w:themeColor="text1"/>
          <w:sz w:val="22"/>
          <w:szCs w:val="22"/>
        </w:rPr>
        <w:t>confidential</w:t>
      </w:r>
      <w:r w:rsidRPr="2BB6800B">
        <w:rPr>
          <w:rFonts w:ascii="Calibri" w:eastAsia="Calibri" w:hAnsi="Calibri" w:cs="Calibri"/>
          <w:color w:val="000000" w:themeColor="text1"/>
          <w:sz w:val="22"/>
          <w:szCs w:val="22"/>
        </w:rPr>
        <w:t xml:space="preserve"> and so neither published nor disclosed, please contact us before sending it. Please limit the confidential material to the minimum, clearly identify it and explain why you want it to be confidential. We cannot guarantee that confidentiality can be maintained in all circumstances and an automatic disclaimer generated by your IT system will not be regarded as binding on the Civil Justice Council.</w:t>
      </w:r>
    </w:p>
    <w:p w14:paraId="0126A4E4" w14:textId="29BDDF85" w:rsidR="004D09A3" w:rsidRDefault="74E55D24" w:rsidP="2BB6800B">
      <w:pPr>
        <w:spacing w:after="120" w:line="240" w:lineRule="auto"/>
        <w:rPr>
          <w:rFonts w:ascii="Calibri" w:eastAsia="Calibri" w:hAnsi="Calibri" w:cs="Calibri"/>
          <w:color w:val="000000" w:themeColor="text1"/>
          <w:sz w:val="22"/>
          <w:szCs w:val="22"/>
        </w:rPr>
      </w:pPr>
      <w:r w:rsidRPr="2BB6800B">
        <w:rPr>
          <w:rFonts w:ascii="Calibri" w:eastAsia="Calibri" w:hAnsi="Calibri" w:cs="Calibri"/>
          <w:color w:val="000000" w:themeColor="text1"/>
          <w:sz w:val="22"/>
          <w:szCs w:val="22"/>
        </w:rPr>
        <w:t xml:space="preserve">Alternatively, you may want your response to be </w:t>
      </w:r>
      <w:r w:rsidRPr="2BB6800B">
        <w:rPr>
          <w:rFonts w:ascii="Calibri" w:eastAsia="Calibri" w:hAnsi="Calibri" w:cs="Calibri"/>
          <w:b/>
          <w:bCs/>
          <w:color w:val="000000" w:themeColor="text1"/>
          <w:sz w:val="22"/>
          <w:szCs w:val="22"/>
        </w:rPr>
        <w:t>anonymous</w:t>
      </w:r>
      <w:r w:rsidRPr="2BB6800B">
        <w:rPr>
          <w:rFonts w:ascii="Calibri" w:eastAsia="Calibri" w:hAnsi="Calibri" w:cs="Calibri"/>
          <w:color w:val="000000" w:themeColor="text1"/>
          <w:sz w:val="22"/>
          <w:szCs w:val="22"/>
        </w:rPr>
        <w:t>. That means that we may refer to what you say in your response but will not reveal that the information came from you. You might want your response to be anonymous because it contains sensitive information about you or your organisation, or because you are worried about other people knowing what you have said to us.</w:t>
      </w:r>
    </w:p>
    <w:p w14:paraId="14A1760D" w14:textId="0B213C0F" w:rsidR="004D09A3" w:rsidRDefault="74E55D24" w:rsidP="2BB6800B">
      <w:pPr>
        <w:spacing w:after="240" w:line="240" w:lineRule="auto"/>
        <w:rPr>
          <w:rFonts w:ascii="Calibri" w:eastAsia="Calibri" w:hAnsi="Calibri" w:cs="Calibri"/>
          <w:color w:val="000000" w:themeColor="text1"/>
          <w:sz w:val="22"/>
          <w:szCs w:val="22"/>
        </w:rPr>
      </w:pPr>
      <w:r w:rsidRPr="2BB6800B">
        <w:rPr>
          <w:rFonts w:ascii="Calibri" w:eastAsia="Calibri" w:hAnsi="Calibri" w:cs="Calibri"/>
          <w:color w:val="000000" w:themeColor="text1"/>
          <w:sz w:val="22"/>
          <w:szCs w:val="22"/>
        </w:rPr>
        <w:t>We list who responded to our consultations in our reports. If you provide a confidential response your name will appear in that list. If your response is anonymous, we will not include your name in the list unless you have given us permission to do so. Please let us know if you wish your response to be anonymous or confidential.</w:t>
      </w:r>
    </w:p>
    <w:p w14:paraId="60CD3368" w14:textId="3EA25E35" w:rsidR="4689FEBB" w:rsidRDefault="4689FEBB" w:rsidP="2BB6800B">
      <w:pPr>
        <w:spacing w:after="240" w:line="240" w:lineRule="auto"/>
        <w:rPr>
          <w:rFonts w:ascii="Calibri" w:eastAsia="Calibri" w:hAnsi="Calibri" w:cs="Calibri"/>
          <w:color w:val="000000" w:themeColor="text1"/>
          <w:sz w:val="22"/>
          <w:szCs w:val="22"/>
        </w:rPr>
      </w:pPr>
    </w:p>
    <w:p w14:paraId="2B6DDF72" w14:textId="3F4C3FA3" w:rsidR="74E55D24" w:rsidRDefault="74E55D24" w:rsidP="4689FEBB">
      <w:pPr>
        <w:spacing w:after="240" w:line="240" w:lineRule="auto"/>
        <w:rPr>
          <w:rFonts w:ascii="Calibri" w:eastAsia="Calibri" w:hAnsi="Calibri" w:cs="Calibri"/>
          <w:sz w:val="22"/>
          <w:szCs w:val="22"/>
        </w:rPr>
      </w:pPr>
      <w:r w:rsidRPr="2BB6800B">
        <w:rPr>
          <w:rFonts w:ascii="Calibri" w:eastAsia="Calibri" w:hAnsi="Calibri" w:cs="Calibri"/>
          <w:b/>
          <w:bCs/>
          <w:color w:val="467886"/>
          <w:sz w:val="22"/>
          <w:szCs w:val="22"/>
        </w:rPr>
        <w:t>The full list of consultation questions is below:</w:t>
      </w:r>
    </w:p>
    <w:p w14:paraId="59453ACF" w14:textId="4D0423C4" w:rsidR="74E55D24" w:rsidRDefault="74E55D24" w:rsidP="2BB6800B">
      <w:pPr>
        <w:spacing w:after="240" w:line="240" w:lineRule="auto"/>
        <w:rPr>
          <w:rFonts w:ascii="Calibri" w:eastAsia="Calibri" w:hAnsi="Calibri" w:cs="Calibri"/>
          <w:b/>
          <w:bCs/>
          <w:sz w:val="22"/>
          <w:szCs w:val="22"/>
        </w:rPr>
      </w:pPr>
      <w:r w:rsidRPr="2BB6800B">
        <w:rPr>
          <w:rFonts w:ascii="Calibri" w:eastAsia="Calibri" w:hAnsi="Calibri" w:cs="Calibri"/>
          <w:b/>
          <w:bCs/>
          <w:sz w:val="22"/>
          <w:szCs w:val="22"/>
        </w:rPr>
        <w:t xml:space="preserve">Please give reasons for your answers. Please do so by reference, where applicable, to the guidance given in the footnotes. </w:t>
      </w:r>
    </w:p>
    <w:p w14:paraId="2396061B" w14:textId="2D61726F" w:rsidR="74E55D24" w:rsidRDefault="74E55D24" w:rsidP="2BB6800B">
      <w:pPr>
        <w:spacing w:after="240" w:line="240" w:lineRule="auto"/>
        <w:rPr>
          <w:rFonts w:ascii="Calibri" w:eastAsia="Calibri" w:hAnsi="Calibri" w:cs="Calibri"/>
          <w:b/>
          <w:bCs/>
          <w:sz w:val="22"/>
          <w:szCs w:val="22"/>
        </w:rPr>
      </w:pPr>
      <w:r w:rsidRPr="2BB6800B">
        <w:rPr>
          <w:rFonts w:ascii="Calibri" w:eastAsia="Calibri" w:hAnsi="Calibri" w:cs="Calibri"/>
          <w:b/>
          <w:bCs/>
          <w:sz w:val="22"/>
          <w:szCs w:val="22"/>
        </w:rPr>
        <w:t xml:space="preserve">All answers should be supported by evidence where possible to enable evidence-based conclusions to be drawn. </w:t>
      </w:r>
    </w:p>
    <w:p w14:paraId="6AD59EA8" w14:textId="1D245722" w:rsidR="74E55D24" w:rsidRDefault="74E55D24" w:rsidP="2BB6800B">
      <w:pPr>
        <w:spacing w:after="240" w:line="240" w:lineRule="auto"/>
        <w:rPr>
          <w:rFonts w:ascii="Calibri" w:eastAsia="Calibri" w:hAnsi="Calibri" w:cs="Calibri"/>
          <w:b/>
          <w:bCs/>
          <w:sz w:val="22"/>
          <w:szCs w:val="22"/>
        </w:rPr>
      </w:pPr>
      <w:r w:rsidRPr="2BB6800B">
        <w:rPr>
          <w:rFonts w:ascii="Calibri" w:eastAsia="Calibri" w:hAnsi="Calibri" w:cs="Calibri"/>
          <w:b/>
          <w:bCs/>
          <w:sz w:val="22"/>
          <w:szCs w:val="22"/>
        </w:rPr>
        <w:t>It is not necessary to answer all the questions</w:t>
      </w:r>
    </w:p>
    <w:p w14:paraId="3F92160E" w14:textId="5798D30D" w:rsidR="004D09A3" w:rsidRDefault="74E55D24" w:rsidP="4ADB1270">
      <w:pPr>
        <w:spacing w:before="210" w:after="210" w:line="300" w:lineRule="auto"/>
        <w:rPr>
          <w:rFonts w:ascii="Calibri" w:eastAsia="Calibri" w:hAnsi="Calibri" w:cs="Calibri"/>
          <w:sz w:val="22"/>
          <w:szCs w:val="22"/>
        </w:rPr>
      </w:pPr>
      <w:r w:rsidRPr="4ADB1270">
        <w:rPr>
          <w:rFonts w:ascii="Calibri" w:eastAsia="Calibri" w:hAnsi="Calibri" w:cs="Calibri"/>
          <w:b/>
          <w:bCs/>
          <w:sz w:val="22"/>
          <w:szCs w:val="22"/>
        </w:rPr>
        <w:t>1.</w:t>
      </w:r>
      <w:r w:rsidRPr="4ADB1270">
        <w:rPr>
          <w:rFonts w:ascii="Calibri" w:eastAsia="Calibri" w:hAnsi="Calibri" w:cs="Calibri"/>
          <w:sz w:val="22"/>
          <w:szCs w:val="22"/>
        </w:rPr>
        <w:t xml:space="preserve"> Do consultees agree that any revised code for the regulation of solicitor and own-client costs should have the objectives identified in paragraph 4.2 above?</w:t>
      </w:r>
      <w:r w:rsidR="00000F05">
        <w:br/>
      </w:r>
      <w:r w:rsidRPr="4ADB1270">
        <w:rPr>
          <w:rFonts w:ascii="Calibri" w:eastAsia="Calibri" w:hAnsi="Calibri" w:cs="Calibri"/>
          <w:sz w:val="22"/>
          <w:szCs w:val="22"/>
        </w:rPr>
        <w:t xml:space="preserve"> </w:t>
      </w:r>
      <w:r w:rsidR="00000F05">
        <w:tab/>
      </w:r>
      <w:r w:rsidRPr="4ADB1270">
        <w:rPr>
          <w:rFonts w:ascii="Calibri" w:eastAsia="Calibri" w:hAnsi="Calibri" w:cs="Calibri"/>
          <w:sz w:val="22"/>
          <w:szCs w:val="22"/>
        </w:rPr>
        <w:t>a. Should the revised code contain any other objectives that aren’t identified above?</w:t>
      </w:r>
      <w:r w:rsidR="00000F05">
        <w:br/>
      </w:r>
      <w:r w:rsidR="00000F05">
        <w:tab/>
      </w:r>
      <w:r w:rsidRPr="4ADB1270">
        <w:rPr>
          <w:rFonts w:ascii="Calibri" w:eastAsia="Calibri" w:hAnsi="Calibri" w:cs="Calibri"/>
          <w:sz w:val="22"/>
          <w:szCs w:val="22"/>
        </w:rPr>
        <w:t xml:space="preserve"> b. If consultees disagree, why? What alternate objectives should be relied on?</w:t>
      </w:r>
    </w:p>
    <w:p w14:paraId="40B03B33" w14:textId="1F853576" w:rsidR="004D09A3" w:rsidRDefault="74E55D24" w:rsidP="2BB6800B">
      <w:pPr>
        <w:spacing w:before="210" w:after="210" w:line="300" w:lineRule="auto"/>
        <w:rPr>
          <w:rFonts w:ascii="Calibri" w:eastAsia="Calibri" w:hAnsi="Calibri" w:cs="Calibri"/>
          <w:sz w:val="22"/>
          <w:szCs w:val="22"/>
        </w:rPr>
      </w:pPr>
      <w:r w:rsidRPr="2BB6800B">
        <w:rPr>
          <w:rFonts w:ascii="Calibri" w:eastAsia="Calibri" w:hAnsi="Calibri" w:cs="Calibri"/>
          <w:b/>
          <w:bCs/>
          <w:sz w:val="22"/>
          <w:szCs w:val="22"/>
        </w:rPr>
        <w:t>2.</w:t>
      </w:r>
      <w:r w:rsidRPr="2BB6800B">
        <w:rPr>
          <w:rFonts w:ascii="Calibri" w:eastAsia="Calibri" w:hAnsi="Calibri" w:cs="Calibri"/>
          <w:sz w:val="22"/>
          <w:szCs w:val="22"/>
        </w:rPr>
        <w:t xml:space="preserve"> We propose that solicitors’ charges should be subject to an overarching principle that they be ‘fair and reasonable’, judged on an objective basis, which should apply both to the amounts </w:t>
      </w:r>
      <w:proofErr w:type="gramStart"/>
      <w:r w:rsidRPr="2BB6800B">
        <w:rPr>
          <w:rFonts w:ascii="Calibri" w:eastAsia="Calibri" w:hAnsi="Calibri" w:cs="Calibri"/>
          <w:sz w:val="22"/>
          <w:szCs w:val="22"/>
        </w:rPr>
        <w:t>actually charged</w:t>
      </w:r>
      <w:proofErr w:type="gramEnd"/>
      <w:r w:rsidRPr="2BB6800B">
        <w:rPr>
          <w:rFonts w:ascii="Calibri" w:eastAsia="Calibri" w:hAnsi="Calibri" w:cs="Calibri"/>
          <w:sz w:val="22"/>
          <w:szCs w:val="22"/>
        </w:rPr>
        <w:t xml:space="preserve"> and to contractual terms, but not to the </w:t>
      </w:r>
      <w:proofErr w:type="gramStart"/>
      <w:r w:rsidRPr="2BB6800B">
        <w:rPr>
          <w:rFonts w:ascii="Calibri" w:eastAsia="Calibri" w:hAnsi="Calibri" w:cs="Calibri"/>
          <w:sz w:val="22"/>
          <w:szCs w:val="22"/>
        </w:rPr>
        <w:t>manner in which</w:t>
      </w:r>
      <w:proofErr w:type="gramEnd"/>
      <w:r w:rsidRPr="2BB6800B">
        <w:rPr>
          <w:rFonts w:ascii="Calibri" w:eastAsia="Calibri" w:hAnsi="Calibri" w:cs="Calibri"/>
          <w:sz w:val="22"/>
          <w:szCs w:val="22"/>
        </w:rPr>
        <w:t xml:space="preserve"> the agreement was reached. Do consultees agree with this recommendation?</w:t>
      </w:r>
    </w:p>
    <w:p w14:paraId="6572A897" w14:textId="635D41CB" w:rsidR="004D09A3" w:rsidRDefault="74E55D24" w:rsidP="4ADB1270">
      <w:pPr>
        <w:spacing w:before="210" w:after="210" w:line="300" w:lineRule="auto"/>
        <w:rPr>
          <w:rFonts w:ascii="Calibri" w:eastAsia="Calibri" w:hAnsi="Calibri" w:cs="Calibri"/>
          <w:sz w:val="22"/>
          <w:szCs w:val="22"/>
        </w:rPr>
      </w:pPr>
      <w:r w:rsidRPr="4ADB1270">
        <w:rPr>
          <w:rFonts w:ascii="Calibri" w:eastAsia="Calibri" w:hAnsi="Calibri" w:cs="Calibri"/>
          <w:b/>
          <w:bCs/>
          <w:sz w:val="22"/>
          <w:szCs w:val="22"/>
        </w:rPr>
        <w:t>3.</w:t>
      </w:r>
      <w:r w:rsidRPr="4ADB1270">
        <w:rPr>
          <w:rFonts w:ascii="Calibri" w:eastAsia="Calibri" w:hAnsi="Calibri" w:cs="Calibri"/>
          <w:sz w:val="22"/>
          <w:szCs w:val="22"/>
        </w:rPr>
        <w:t xml:space="preserve"> We propose that the approach taken in reg. 3 of the 2009 Order – subject to some updating – would be a sensible approach to producing guidance on the meaning of ‘fair and reasonable’. Do consultees agree? Consultees should consider whether:</w:t>
      </w:r>
      <w:r w:rsidR="00000F05">
        <w:br/>
      </w:r>
      <w:r w:rsidR="00000F05">
        <w:tab/>
      </w:r>
      <w:r w:rsidRPr="4ADB1270">
        <w:rPr>
          <w:rFonts w:ascii="Calibri" w:eastAsia="Calibri" w:hAnsi="Calibri" w:cs="Calibri"/>
          <w:sz w:val="22"/>
          <w:szCs w:val="22"/>
        </w:rPr>
        <w:t xml:space="preserve"> a. there is anything presently contained in reg. 3 of the 2009 Order which should be </w:t>
      </w:r>
      <w:r w:rsidR="00000F05">
        <w:tab/>
      </w:r>
      <w:r w:rsidR="00000F05">
        <w:tab/>
      </w:r>
      <w:r w:rsidR="6D8E9B33" w:rsidRPr="4ADB1270">
        <w:rPr>
          <w:rFonts w:ascii="Calibri" w:eastAsia="Calibri" w:hAnsi="Calibri" w:cs="Calibri"/>
          <w:sz w:val="22"/>
          <w:szCs w:val="22"/>
        </w:rPr>
        <w:t>e</w:t>
      </w:r>
      <w:r w:rsidRPr="4ADB1270">
        <w:rPr>
          <w:rFonts w:ascii="Calibri" w:eastAsia="Calibri" w:hAnsi="Calibri" w:cs="Calibri"/>
          <w:sz w:val="22"/>
          <w:szCs w:val="22"/>
        </w:rPr>
        <w:t>xcluded when producing guidance on the meaning of ‘fair and reasonable.’</w:t>
      </w:r>
      <w:r w:rsidR="00000F05">
        <w:br/>
      </w:r>
      <w:r w:rsidRPr="4ADB1270">
        <w:rPr>
          <w:rFonts w:ascii="Calibri" w:eastAsia="Calibri" w:hAnsi="Calibri" w:cs="Calibri"/>
          <w:sz w:val="22"/>
          <w:szCs w:val="22"/>
        </w:rPr>
        <w:t xml:space="preserve"> </w:t>
      </w:r>
      <w:r w:rsidR="00000F05">
        <w:tab/>
      </w:r>
      <w:r w:rsidRPr="4ADB1270">
        <w:rPr>
          <w:rFonts w:ascii="Calibri" w:eastAsia="Calibri" w:hAnsi="Calibri" w:cs="Calibri"/>
          <w:sz w:val="22"/>
          <w:szCs w:val="22"/>
        </w:rPr>
        <w:t xml:space="preserve">b. there is anything not presently contained in reg. 3 of the 2009 Order that should be </w:t>
      </w:r>
      <w:r w:rsidR="00000F05">
        <w:tab/>
      </w:r>
      <w:r w:rsidRPr="4ADB1270">
        <w:rPr>
          <w:rFonts w:ascii="Calibri" w:eastAsia="Calibri" w:hAnsi="Calibri" w:cs="Calibri"/>
          <w:sz w:val="22"/>
          <w:szCs w:val="22"/>
        </w:rPr>
        <w:t>i</w:t>
      </w:r>
      <w:r w:rsidR="00000F05">
        <w:tab/>
      </w:r>
      <w:r w:rsidRPr="4ADB1270">
        <w:rPr>
          <w:rFonts w:ascii="Calibri" w:eastAsia="Calibri" w:hAnsi="Calibri" w:cs="Calibri"/>
          <w:sz w:val="22"/>
          <w:szCs w:val="22"/>
        </w:rPr>
        <w:t>ncluded.</w:t>
      </w:r>
    </w:p>
    <w:p w14:paraId="5A6D7B62" w14:textId="4A608A10" w:rsidR="004D09A3" w:rsidRDefault="74E55D24" w:rsidP="2BB6800B">
      <w:pPr>
        <w:spacing w:before="210" w:after="210" w:line="300" w:lineRule="auto"/>
        <w:rPr>
          <w:rFonts w:ascii="Calibri" w:eastAsia="Calibri" w:hAnsi="Calibri" w:cs="Calibri"/>
          <w:sz w:val="22"/>
          <w:szCs w:val="22"/>
        </w:rPr>
      </w:pPr>
      <w:r w:rsidRPr="2BB6800B">
        <w:rPr>
          <w:rFonts w:ascii="Calibri" w:eastAsia="Calibri" w:hAnsi="Calibri" w:cs="Calibri"/>
          <w:b/>
          <w:bCs/>
          <w:sz w:val="22"/>
          <w:szCs w:val="22"/>
        </w:rPr>
        <w:t>4.</w:t>
      </w:r>
      <w:r w:rsidRPr="2BB6800B">
        <w:rPr>
          <w:rFonts w:ascii="Calibri" w:eastAsia="Calibri" w:hAnsi="Calibri" w:cs="Calibri"/>
          <w:sz w:val="22"/>
          <w:szCs w:val="22"/>
        </w:rPr>
        <w:t xml:space="preserve"> Do consultees agree that the distinction between contentious and non-contentious business should be removed? Do consultees perceive any disadvantage in doing so?</w:t>
      </w:r>
    </w:p>
    <w:p w14:paraId="6D5814D5" w14:textId="2E182560" w:rsidR="004D09A3" w:rsidRDefault="74E55D24" w:rsidP="4ADB1270">
      <w:pPr>
        <w:spacing w:before="210" w:after="210" w:line="300" w:lineRule="auto"/>
        <w:rPr>
          <w:rFonts w:ascii="Calibri" w:eastAsia="Calibri" w:hAnsi="Calibri" w:cs="Calibri"/>
          <w:sz w:val="22"/>
          <w:szCs w:val="22"/>
        </w:rPr>
      </w:pPr>
      <w:r w:rsidRPr="4ADB1270">
        <w:rPr>
          <w:rFonts w:ascii="Calibri" w:eastAsia="Calibri" w:hAnsi="Calibri" w:cs="Calibri"/>
          <w:b/>
          <w:bCs/>
          <w:sz w:val="22"/>
          <w:szCs w:val="22"/>
        </w:rPr>
        <w:t>5.</w:t>
      </w:r>
      <w:r w:rsidRPr="4ADB1270">
        <w:rPr>
          <w:rFonts w:ascii="Calibri" w:eastAsia="Calibri" w:hAnsi="Calibri" w:cs="Calibri"/>
          <w:sz w:val="22"/>
          <w:szCs w:val="22"/>
        </w:rPr>
        <w:t xml:space="preserve"> As part of our wider provisional recommendation for a graduated dispute escalation procedure, we propose a route for smaller bills, as set out above. In summary, clients must exhaust internal complaints processes and LeO’s complaints procedure before petitioning the Court, initially with an application for permission to proceed which would need to show good reason why further recourse was justified. Do consultees agree with this proposal?</w:t>
      </w:r>
      <w:r w:rsidR="00000F05">
        <w:br/>
      </w:r>
      <w:r w:rsidRPr="4ADB1270">
        <w:rPr>
          <w:rFonts w:ascii="Calibri" w:eastAsia="Calibri" w:hAnsi="Calibri" w:cs="Calibri"/>
          <w:sz w:val="22"/>
          <w:szCs w:val="22"/>
        </w:rPr>
        <w:t>The WG are particularly seeking views on the proposal that clients must show good reason before being given permission to proceed by way of Court proceedings.</w:t>
      </w:r>
    </w:p>
    <w:p w14:paraId="7A2D2C88" w14:textId="2010F933" w:rsidR="004D09A3" w:rsidRDefault="74E55D24" w:rsidP="2BB6800B">
      <w:pPr>
        <w:spacing w:before="210" w:after="210" w:line="300" w:lineRule="auto"/>
        <w:rPr>
          <w:rFonts w:ascii="Calibri" w:eastAsia="Calibri" w:hAnsi="Calibri" w:cs="Calibri"/>
          <w:sz w:val="22"/>
          <w:szCs w:val="22"/>
        </w:rPr>
      </w:pPr>
      <w:r w:rsidRPr="2BB6800B">
        <w:rPr>
          <w:rFonts w:ascii="Calibri" w:eastAsia="Calibri" w:hAnsi="Calibri" w:cs="Calibri"/>
          <w:b/>
          <w:bCs/>
          <w:sz w:val="22"/>
          <w:szCs w:val="22"/>
        </w:rPr>
        <w:t>6.</w:t>
      </w:r>
      <w:r w:rsidRPr="2BB6800B">
        <w:rPr>
          <w:rFonts w:ascii="Calibri" w:eastAsia="Calibri" w:hAnsi="Calibri" w:cs="Calibri"/>
          <w:sz w:val="22"/>
          <w:szCs w:val="22"/>
        </w:rPr>
        <w:t xml:space="preserve"> Do consultees agree with our recommendation for a graduated dispute escalation procedure, including ADR, for those cases falling outside LeO’s jurisdiction, as a precondition to accessing the courts in disputes about solicitors’ costs?</w:t>
      </w:r>
    </w:p>
    <w:p w14:paraId="23A7D4CF" w14:textId="4C32B6E5" w:rsidR="004D09A3" w:rsidRDefault="74E55D24" w:rsidP="2BB6800B">
      <w:pPr>
        <w:spacing w:before="210" w:after="210" w:line="300" w:lineRule="auto"/>
        <w:rPr>
          <w:rFonts w:ascii="Calibri" w:eastAsia="Calibri" w:hAnsi="Calibri" w:cs="Calibri"/>
          <w:sz w:val="22"/>
          <w:szCs w:val="22"/>
        </w:rPr>
      </w:pPr>
      <w:r w:rsidRPr="2BB6800B">
        <w:rPr>
          <w:rFonts w:ascii="Calibri" w:eastAsia="Calibri" w:hAnsi="Calibri" w:cs="Calibri"/>
          <w:b/>
          <w:bCs/>
          <w:sz w:val="22"/>
          <w:szCs w:val="22"/>
        </w:rPr>
        <w:lastRenderedPageBreak/>
        <w:t>7.</w:t>
      </w:r>
      <w:r w:rsidRPr="2BB6800B">
        <w:rPr>
          <w:rFonts w:ascii="Calibri" w:eastAsia="Calibri" w:hAnsi="Calibri" w:cs="Calibri"/>
          <w:sz w:val="22"/>
          <w:szCs w:val="22"/>
        </w:rPr>
        <w:t xml:space="preserve"> Do consultees agree with our recommendation that the jurisdiction of LeO in relation to costs be clarified and expanded, in the manner suggested?</w:t>
      </w:r>
    </w:p>
    <w:p w14:paraId="65A7201C" w14:textId="29EE20D9" w:rsidR="004D09A3" w:rsidRDefault="74E55D24" w:rsidP="2BB6800B">
      <w:pPr>
        <w:spacing w:before="210" w:after="210" w:line="300" w:lineRule="auto"/>
        <w:rPr>
          <w:rFonts w:ascii="Calibri" w:eastAsia="Calibri" w:hAnsi="Calibri" w:cs="Calibri"/>
          <w:sz w:val="22"/>
          <w:szCs w:val="22"/>
        </w:rPr>
      </w:pPr>
      <w:r w:rsidRPr="2BB6800B">
        <w:rPr>
          <w:rFonts w:ascii="Calibri" w:eastAsia="Calibri" w:hAnsi="Calibri" w:cs="Calibri"/>
          <w:b/>
          <w:bCs/>
          <w:sz w:val="22"/>
          <w:szCs w:val="22"/>
        </w:rPr>
        <w:t>8.</w:t>
      </w:r>
      <w:r w:rsidRPr="2BB6800B">
        <w:rPr>
          <w:rFonts w:ascii="Calibri" w:eastAsia="Calibri" w:hAnsi="Calibri" w:cs="Calibri"/>
          <w:sz w:val="22"/>
          <w:szCs w:val="22"/>
        </w:rPr>
        <w:t xml:space="preserve"> Do consultees consider the proposed cap of £50,000 to be appropriate? If consultees disagree, would they suggest a higher or a lower figure? Why?</w:t>
      </w:r>
    </w:p>
    <w:p w14:paraId="10125707" w14:textId="04FECA10" w:rsidR="004D09A3" w:rsidRDefault="74E55D24" w:rsidP="2BB6800B">
      <w:pPr>
        <w:spacing w:before="210" w:after="210" w:line="300" w:lineRule="auto"/>
        <w:rPr>
          <w:rFonts w:ascii="Calibri" w:eastAsia="Calibri" w:hAnsi="Calibri" w:cs="Calibri"/>
          <w:sz w:val="22"/>
          <w:szCs w:val="22"/>
        </w:rPr>
      </w:pPr>
      <w:r w:rsidRPr="2BB6800B">
        <w:rPr>
          <w:rFonts w:ascii="Calibri" w:eastAsia="Calibri" w:hAnsi="Calibri" w:cs="Calibri"/>
          <w:b/>
          <w:bCs/>
          <w:sz w:val="22"/>
          <w:szCs w:val="22"/>
        </w:rPr>
        <w:t>9.</w:t>
      </w:r>
      <w:r w:rsidRPr="2BB6800B">
        <w:rPr>
          <w:rFonts w:ascii="Calibri" w:eastAsia="Calibri" w:hAnsi="Calibri" w:cs="Calibri"/>
          <w:sz w:val="22"/>
          <w:szCs w:val="22"/>
        </w:rPr>
        <w:t xml:space="preserve"> Do consultees agree that the concept of the ‘statute’ or ‘statutory’ bill should be abolished, and that the content and format of bills should be set by conduct rules and rules of court?</w:t>
      </w:r>
    </w:p>
    <w:p w14:paraId="639C0CD9" w14:textId="4D69B581" w:rsidR="004D09A3" w:rsidRDefault="74E55D24" w:rsidP="2BB6800B">
      <w:pPr>
        <w:spacing w:before="210" w:after="210" w:line="300" w:lineRule="auto"/>
        <w:rPr>
          <w:rFonts w:ascii="Calibri" w:eastAsia="Calibri" w:hAnsi="Calibri" w:cs="Calibri"/>
          <w:sz w:val="22"/>
          <w:szCs w:val="22"/>
        </w:rPr>
      </w:pPr>
      <w:r w:rsidRPr="2BB6800B">
        <w:rPr>
          <w:rFonts w:ascii="Calibri" w:eastAsia="Calibri" w:hAnsi="Calibri" w:cs="Calibri"/>
          <w:b/>
          <w:bCs/>
          <w:sz w:val="22"/>
          <w:szCs w:val="22"/>
        </w:rPr>
        <w:t>10.</w:t>
      </w:r>
      <w:r w:rsidRPr="2BB6800B">
        <w:rPr>
          <w:rFonts w:ascii="Calibri" w:eastAsia="Calibri" w:hAnsi="Calibri" w:cs="Calibri"/>
          <w:sz w:val="22"/>
          <w:szCs w:val="22"/>
        </w:rPr>
        <w:t xml:space="preserve"> Do consultees agree that requirements as the signature and delivery of bills should likewise be addressed by conduct rules, reflecting up-to-date practice?</w:t>
      </w:r>
    </w:p>
    <w:p w14:paraId="0846AE06" w14:textId="526E2F9B" w:rsidR="004D09A3" w:rsidRDefault="74E55D24" w:rsidP="2BB6800B">
      <w:pPr>
        <w:spacing w:before="210" w:after="210" w:line="300" w:lineRule="auto"/>
        <w:rPr>
          <w:rFonts w:ascii="Calibri" w:eastAsia="Calibri" w:hAnsi="Calibri" w:cs="Calibri"/>
          <w:sz w:val="22"/>
          <w:szCs w:val="22"/>
        </w:rPr>
      </w:pPr>
      <w:r w:rsidRPr="2BB6800B">
        <w:rPr>
          <w:rFonts w:ascii="Calibri" w:eastAsia="Calibri" w:hAnsi="Calibri" w:cs="Calibri"/>
          <w:b/>
          <w:bCs/>
          <w:sz w:val="22"/>
          <w:szCs w:val="22"/>
        </w:rPr>
        <w:t>11.</w:t>
      </w:r>
      <w:r w:rsidRPr="2BB6800B">
        <w:rPr>
          <w:rFonts w:ascii="Calibri" w:eastAsia="Calibri" w:hAnsi="Calibri" w:cs="Calibri"/>
          <w:sz w:val="22"/>
          <w:szCs w:val="22"/>
        </w:rPr>
        <w:t xml:space="preserve"> Do consultees agree that there should be a single time limit for initiating proceedings of one year from receipt, regardless of whether the bill is paid, subject to a power to extend the time limit where it is fair a reasonable to do so?</w:t>
      </w:r>
      <w:r w:rsidR="00000F05">
        <w:br/>
      </w:r>
      <w:r w:rsidRPr="2BB6800B">
        <w:rPr>
          <w:rFonts w:ascii="Calibri" w:eastAsia="Calibri" w:hAnsi="Calibri" w:cs="Calibri"/>
          <w:sz w:val="22"/>
          <w:szCs w:val="22"/>
        </w:rPr>
        <w:t xml:space="preserve"> Consultees </w:t>
      </w:r>
      <w:proofErr w:type="gramStart"/>
      <w:r w:rsidRPr="2BB6800B">
        <w:rPr>
          <w:rFonts w:ascii="Calibri" w:eastAsia="Calibri" w:hAnsi="Calibri" w:cs="Calibri"/>
          <w:sz w:val="22"/>
          <w:szCs w:val="22"/>
        </w:rPr>
        <w:t>in particular are</w:t>
      </w:r>
      <w:proofErr w:type="gramEnd"/>
      <w:r w:rsidRPr="2BB6800B">
        <w:rPr>
          <w:rFonts w:ascii="Calibri" w:eastAsia="Calibri" w:hAnsi="Calibri" w:cs="Calibri"/>
          <w:sz w:val="22"/>
          <w:szCs w:val="22"/>
        </w:rPr>
        <w:t xml:space="preserve"> asked to consider whether the proposal of a single time limit regardless of payment of the bill raises any concerns.</w:t>
      </w:r>
    </w:p>
    <w:p w14:paraId="2C0E807D" w14:textId="35F55172" w:rsidR="004D09A3" w:rsidRDefault="74E55D24" w:rsidP="2BB6800B">
      <w:pPr>
        <w:spacing w:before="210" w:after="210" w:line="300" w:lineRule="auto"/>
        <w:rPr>
          <w:rFonts w:ascii="Calibri" w:eastAsia="Calibri" w:hAnsi="Calibri" w:cs="Calibri"/>
          <w:sz w:val="22"/>
          <w:szCs w:val="22"/>
        </w:rPr>
      </w:pPr>
      <w:r w:rsidRPr="2BB6800B">
        <w:rPr>
          <w:rFonts w:ascii="Calibri" w:eastAsia="Calibri" w:hAnsi="Calibri" w:cs="Calibri"/>
          <w:b/>
          <w:bCs/>
          <w:sz w:val="22"/>
          <w:szCs w:val="22"/>
        </w:rPr>
        <w:t>12.</w:t>
      </w:r>
      <w:r w:rsidRPr="2BB6800B">
        <w:rPr>
          <w:rFonts w:ascii="Calibri" w:eastAsia="Calibri" w:hAnsi="Calibri" w:cs="Calibri"/>
          <w:sz w:val="22"/>
          <w:szCs w:val="22"/>
        </w:rPr>
        <w:t xml:space="preserve"> Do consultees agree that the matters described above at paragraphs 4.29–4.34 above do not require legislative provision, and where necessary can be addressed via conduct rules and/or rules of court?</w:t>
      </w:r>
    </w:p>
    <w:p w14:paraId="474C768E" w14:textId="6815E545" w:rsidR="004D09A3" w:rsidRDefault="74E55D24" w:rsidP="2BB6800B">
      <w:pPr>
        <w:spacing w:before="210" w:after="210" w:line="300" w:lineRule="auto"/>
        <w:rPr>
          <w:rFonts w:ascii="Calibri" w:eastAsia="Calibri" w:hAnsi="Calibri" w:cs="Calibri"/>
          <w:sz w:val="22"/>
          <w:szCs w:val="22"/>
        </w:rPr>
      </w:pPr>
      <w:r w:rsidRPr="2BB6800B">
        <w:rPr>
          <w:rFonts w:ascii="Calibri" w:eastAsia="Calibri" w:hAnsi="Calibri" w:cs="Calibri"/>
          <w:b/>
          <w:bCs/>
          <w:sz w:val="22"/>
          <w:szCs w:val="22"/>
        </w:rPr>
        <w:t>13.</w:t>
      </w:r>
      <w:r w:rsidRPr="2BB6800B">
        <w:rPr>
          <w:rFonts w:ascii="Calibri" w:eastAsia="Calibri" w:hAnsi="Calibri" w:cs="Calibri"/>
          <w:sz w:val="22"/>
          <w:szCs w:val="22"/>
        </w:rPr>
        <w:t xml:space="preserve"> Aside from the provisions in the existing legislation outlined above in paragraphs 4.29–4.34, are there any other provisions in the current Part III that consultees feel should be reviewed or removed?</w:t>
      </w:r>
    </w:p>
    <w:p w14:paraId="1D42BC1C" w14:textId="6F143A7A" w:rsidR="004D09A3" w:rsidRDefault="74E55D24" w:rsidP="2BB6800B">
      <w:pPr>
        <w:spacing w:before="210" w:after="210" w:line="300" w:lineRule="auto"/>
        <w:rPr>
          <w:rFonts w:ascii="Calibri" w:eastAsia="Calibri" w:hAnsi="Calibri" w:cs="Calibri"/>
          <w:sz w:val="22"/>
          <w:szCs w:val="22"/>
        </w:rPr>
      </w:pPr>
      <w:r w:rsidRPr="2BB6800B">
        <w:rPr>
          <w:rFonts w:ascii="Calibri" w:eastAsia="Calibri" w:hAnsi="Calibri" w:cs="Calibri"/>
          <w:b/>
          <w:bCs/>
          <w:sz w:val="22"/>
          <w:szCs w:val="22"/>
        </w:rPr>
        <w:t>14.</w:t>
      </w:r>
      <w:r w:rsidRPr="2BB6800B">
        <w:rPr>
          <w:rFonts w:ascii="Calibri" w:eastAsia="Calibri" w:hAnsi="Calibri" w:cs="Calibri"/>
          <w:sz w:val="22"/>
          <w:szCs w:val="22"/>
        </w:rPr>
        <w:t xml:space="preserve"> Our recommendation is that the proposed changes can be introduced via limited primary legislation containing an appropriate enabling power. Other matters can be addressed by changes to the LeO Scheme Rules, changes to conduct rules, and changes to rules of Court. Do consultees agree?</w:t>
      </w:r>
    </w:p>
    <w:p w14:paraId="2083E539" w14:textId="6B1317A8" w:rsidR="004D09A3" w:rsidRDefault="74E55D24" w:rsidP="2BB6800B">
      <w:pPr>
        <w:spacing w:before="210" w:after="210" w:line="300" w:lineRule="auto"/>
        <w:rPr>
          <w:rFonts w:ascii="Calibri" w:eastAsia="Calibri" w:hAnsi="Calibri" w:cs="Calibri"/>
          <w:sz w:val="22"/>
          <w:szCs w:val="22"/>
        </w:rPr>
      </w:pPr>
      <w:r w:rsidRPr="2BB6800B">
        <w:rPr>
          <w:rFonts w:ascii="Calibri" w:eastAsia="Calibri" w:hAnsi="Calibri" w:cs="Calibri"/>
          <w:b/>
          <w:bCs/>
          <w:sz w:val="22"/>
          <w:szCs w:val="22"/>
        </w:rPr>
        <w:t>15.</w:t>
      </w:r>
      <w:r w:rsidRPr="2BB6800B">
        <w:rPr>
          <w:rFonts w:ascii="Calibri" w:eastAsia="Calibri" w:hAnsi="Calibri" w:cs="Calibri"/>
          <w:sz w:val="22"/>
          <w:szCs w:val="22"/>
        </w:rPr>
        <w:t xml:space="preserve"> In principle, would consultees support the concept of ‘fair and reasonable’ charging being extended to other legal services professionals? Please explain your answer, giving examples if possible.</w:t>
      </w:r>
    </w:p>
    <w:p w14:paraId="5E5787A5" w14:textId="6EA02AC8" w:rsidR="004D09A3" w:rsidRDefault="004D09A3" w:rsidP="2BB6800B">
      <w:pPr>
        <w:rPr>
          <w:rFonts w:ascii="Calibri" w:eastAsia="Calibri" w:hAnsi="Calibri" w:cs="Calibri"/>
          <w:sz w:val="22"/>
          <w:szCs w:val="22"/>
        </w:rPr>
      </w:pPr>
    </w:p>
    <w:sectPr w:rsidR="004D09A3">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4F1F3" w14:textId="77777777" w:rsidR="00000F05" w:rsidRDefault="00000F05">
      <w:pPr>
        <w:spacing w:after="0" w:line="240" w:lineRule="auto"/>
      </w:pPr>
      <w:r>
        <w:separator/>
      </w:r>
    </w:p>
  </w:endnote>
  <w:endnote w:type="continuationSeparator" w:id="0">
    <w:p w14:paraId="79EEF8F1" w14:textId="77777777" w:rsidR="00000F05" w:rsidRDefault="00000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E730187" w14:paraId="25F77BFF" w14:textId="77777777" w:rsidTr="6E730187">
      <w:trPr>
        <w:trHeight w:val="300"/>
      </w:trPr>
      <w:tc>
        <w:tcPr>
          <w:tcW w:w="3005" w:type="dxa"/>
        </w:tcPr>
        <w:p w14:paraId="0501D06D" w14:textId="215BF07C" w:rsidR="6E730187" w:rsidRDefault="6E730187" w:rsidP="6E730187">
          <w:pPr>
            <w:pStyle w:val="Header"/>
            <w:ind w:left="-115"/>
          </w:pPr>
        </w:p>
      </w:tc>
      <w:tc>
        <w:tcPr>
          <w:tcW w:w="3005" w:type="dxa"/>
        </w:tcPr>
        <w:p w14:paraId="15EE3BB9" w14:textId="2114F7B8" w:rsidR="6E730187" w:rsidRDefault="6E730187" w:rsidP="6E730187">
          <w:pPr>
            <w:pStyle w:val="Header"/>
            <w:jc w:val="center"/>
          </w:pPr>
        </w:p>
      </w:tc>
      <w:tc>
        <w:tcPr>
          <w:tcW w:w="3005" w:type="dxa"/>
        </w:tcPr>
        <w:p w14:paraId="66159D88" w14:textId="76C99470" w:rsidR="6E730187" w:rsidRDefault="6E730187" w:rsidP="6E730187">
          <w:pPr>
            <w:pStyle w:val="Header"/>
            <w:ind w:right="-115"/>
            <w:jc w:val="right"/>
          </w:pPr>
        </w:p>
      </w:tc>
    </w:tr>
  </w:tbl>
  <w:p w14:paraId="3F1D8809" w14:textId="308187AD" w:rsidR="6E730187" w:rsidRDefault="6E730187" w:rsidP="6E730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614F9" w14:textId="77777777" w:rsidR="00000F05" w:rsidRDefault="00000F05">
      <w:pPr>
        <w:spacing w:after="0" w:line="240" w:lineRule="auto"/>
      </w:pPr>
      <w:r>
        <w:separator/>
      </w:r>
    </w:p>
  </w:footnote>
  <w:footnote w:type="continuationSeparator" w:id="0">
    <w:p w14:paraId="2207DA8D" w14:textId="77777777" w:rsidR="00000F05" w:rsidRDefault="00000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1575"/>
      <w:gridCol w:w="4435"/>
    </w:tblGrid>
    <w:tr w:rsidR="6E730187" w14:paraId="2C10F4A5" w14:textId="77777777" w:rsidTr="6E730187">
      <w:trPr>
        <w:trHeight w:val="300"/>
      </w:trPr>
      <w:tc>
        <w:tcPr>
          <w:tcW w:w="3005" w:type="dxa"/>
        </w:tcPr>
        <w:p w14:paraId="0689CA1C" w14:textId="0E7BC998" w:rsidR="6E730187" w:rsidRDefault="6E730187" w:rsidP="6E730187">
          <w:pPr>
            <w:pStyle w:val="Header"/>
            <w:ind w:left="-115"/>
          </w:pPr>
        </w:p>
      </w:tc>
      <w:tc>
        <w:tcPr>
          <w:tcW w:w="1575" w:type="dxa"/>
        </w:tcPr>
        <w:p w14:paraId="2A8181A6" w14:textId="77335CF6" w:rsidR="6E730187" w:rsidRDefault="6E730187" w:rsidP="6E730187">
          <w:pPr>
            <w:pStyle w:val="Header"/>
            <w:jc w:val="center"/>
          </w:pPr>
        </w:p>
      </w:tc>
      <w:tc>
        <w:tcPr>
          <w:tcW w:w="4435" w:type="dxa"/>
        </w:tcPr>
        <w:p w14:paraId="386022E4" w14:textId="2374B95D" w:rsidR="6E730187" w:rsidRDefault="6E730187" w:rsidP="6E730187">
          <w:pPr>
            <w:spacing w:after="0" w:line="240" w:lineRule="auto"/>
            <w:jc w:val="right"/>
            <w:rPr>
              <w:rFonts w:ascii="Calibri" w:eastAsia="Calibri" w:hAnsi="Calibri" w:cs="Calibri"/>
              <w:color w:val="467886"/>
              <w:sz w:val="22"/>
              <w:szCs w:val="22"/>
            </w:rPr>
          </w:pPr>
          <w:r w:rsidRPr="6E730187">
            <w:rPr>
              <w:rFonts w:ascii="Calibri" w:eastAsia="Calibri" w:hAnsi="Calibri" w:cs="Calibri"/>
              <w:b/>
              <w:bCs/>
              <w:color w:val="467886"/>
              <w:sz w:val="22"/>
              <w:szCs w:val="22"/>
            </w:rPr>
            <w:t>CJC Reform of the Solicitors Act 1974, Part III</w:t>
          </w:r>
        </w:p>
        <w:p w14:paraId="08BC206E" w14:textId="753F0A97" w:rsidR="6E730187" w:rsidRDefault="6E730187" w:rsidP="6E730187">
          <w:pPr>
            <w:spacing w:after="0" w:line="240" w:lineRule="auto"/>
            <w:jc w:val="right"/>
            <w:rPr>
              <w:rFonts w:ascii="Calibri" w:eastAsia="Calibri" w:hAnsi="Calibri" w:cs="Calibri"/>
              <w:color w:val="467886"/>
              <w:sz w:val="22"/>
              <w:szCs w:val="22"/>
            </w:rPr>
          </w:pPr>
          <w:r w:rsidRPr="6E730187">
            <w:rPr>
              <w:rFonts w:ascii="Calibri" w:eastAsia="Calibri" w:hAnsi="Calibri" w:cs="Calibri"/>
              <w:b/>
              <w:bCs/>
              <w:color w:val="467886"/>
              <w:sz w:val="22"/>
              <w:szCs w:val="22"/>
            </w:rPr>
            <w:t>23/04/2026 - 16/07/2026</w:t>
          </w:r>
        </w:p>
        <w:p w14:paraId="5DC8FAE1" w14:textId="128E9ED1" w:rsidR="6E730187" w:rsidRDefault="6E730187" w:rsidP="6E730187">
          <w:pPr>
            <w:pStyle w:val="Header"/>
            <w:ind w:right="-115"/>
            <w:jc w:val="right"/>
          </w:pPr>
        </w:p>
      </w:tc>
    </w:tr>
  </w:tbl>
  <w:p w14:paraId="6F6A7B04" w14:textId="543E3C3E" w:rsidR="6E730187" w:rsidRDefault="6E730187" w:rsidP="6E7301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D8B422"/>
    <w:rsid w:val="00000F05"/>
    <w:rsid w:val="004D09A3"/>
    <w:rsid w:val="006B5150"/>
    <w:rsid w:val="00D96FFD"/>
    <w:rsid w:val="0203492F"/>
    <w:rsid w:val="0642AB0A"/>
    <w:rsid w:val="141182D6"/>
    <w:rsid w:val="2418B0A4"/>
    <w:rsid w:val="25404A48"/>
    <w:rsid w:val="2BB6800B"/>
    <w:rsid w:val="3290C6B3"/>
    <w:rsid w:val="32D8B422"/>
    <w:rsid w:val="33D1D71D"/>
    <w:rsid w:val="36BA6F7D"/>
    <w:rsid w:val="4689FEBB"/>
    <w:rsid w:val="4ADB1270"/>
    <w:rsid w:val="54F7504A"/>
    <w:rsid w:val="559A4F16"/>
    <w:rsid w:val="56A4F192"/>
    <w:rsid w:val="6D8E9B33"/>
    <w:rsid w:val="6E730187"/>
    <w:rsid w:val="74E55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422"/>
  <w15:chartTrackingRefBased/>
  <w15:docId w15:val="{BB9C788B-1D1A-4B24-AE6F-E86585B9B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JC@judiciary.uk" TargetMode="External"/><Relationship Id="rId4" Type="http://schemas.openxmlformats.org/officeDocument/2006/relationships/styles" Target="styles.xml"/><Relationship Id="rId9" Type="http://schemas.openxmlformats.org/officeDocument/2006/relationships/hyperlink" Target="mailto:CJC.AI.consultation@judiciary.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17E76747E7F4692201F2C371EDD11" ma:contentTypeVersion="19" ma:contentTypeDescription="Create a new document." ma:contentTypeScope="" ma:versionID="fc09835883adbee3c46736199b8e0466">
  <xsd:schema xmlns:xsd="http://www.w3.org/2001/XMLSchema" xmlns:xs="http://www.w3.org/2001/XMLSchema" xmlns:p="http://schemas.microsoft.com/office/2006/metadata/properties" xmlns:ns2="197eb1e5-95f1-4a51-9dfd-7ef215a3842c" xmlns:ns3="9771cffe-acc4-4f17-841a-997e8862a6af" targetNamespace="http://schemas.microsoft.com/office/2006/metadata/properties" ma:root="true" ma:fieldsID="a293d41252285e15b3aa5841b5e3621e" ns2:_="" ns3:_="">
    <xsd:import namespace="197eb1e5-95f1-4a51-9dfd-7ef215a3842c"/>
    <xsd:import namespace="9771cffe-acc4-4f17-841a-997e8862a6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element ref="ns2:Data_x0020_Working_x0020_Group" minOccurs="0"/>
                <xsd:element ref="ns2:Futures_x0020_Working_x0020_Group" minOccurs="0"/>
                <xsd:element ref="ns2:ADR_x0020_Working_x0020_Group_x0020_" minOccurs="0"/>
                <xsd:element ref="ns2:Review_x0020_of_x0020_Track_x0020_Limits_x0020_Working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eb1e5-95f1-4a51-9dfd-7ef215a38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Data_x0020_Working_x0020_Group" ma:index="23" nillable="true" ma:displayName="Data Working Group" ma:internalName="Data_x0020_Working_x0020_Group">
      <xsd:simpleType>
        <xsd:restriction base="dms:Boolean"/>
      </xsd:simpleType>
    </xsd:element>
    <xsd:element name="Futures_x0020_Working_x0020_Group" ma:index="24" nillable="true" ma:displayName="Futures Working Group" ma:internalName="Futures_x0020_Working_x0020_Group">
      <xsd:simpleType>
        <xsd:restriction base="dms:Boolean"/>
      </xsd:simpleType>
    </xsd:element>
    <xsd:element name="ADR_x0020_Working_x0020_Group_x0020_" ma:index="25" nillable="true" ma:displayName="ADR Working Group " ma:internalName="ADR_x0020_Working_x0020_Group_x0020_">
      <xsd:simpleType>
        <xsd:restriction base="dms:Boolean"/>
      </xsd:simpleType>
    </xsd:element>
    <xsd:element name="Review_x0020_of_x0020_Track_x0020_Limits_x0020_Working_x0020_Group" ma:index="26" nillable="true" ma:displayName="Review of Track Limits Working Group" ma:internalName="Review_x0020_of_x0020_Track_x0020_Limits_x0020_Working_x0020_Group">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771cffe-acc4-4f17-841a-997e8862a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87871d-331d-40b3-8d02-7a323b48d2ba}" ma:internalName="TaxCatchAll" ma:showField="CatchAllData" ma:web="9771cffe-acc4-4f17-841a-997e8862a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DR_x0020_Working_x0020_Group_x0020_ xmlns="197eb1e5-95f1-4a51-9dfd-7ef215a3842c" xsi:nil="true"/>
    <Data_x0020_Working_x0020_Group xmlns="197eb1e5-95f1-4a51-9dfd-7ef215a3842c" xsi:nil="true"/>
    <Review_x0020_of_x0020_Track_x0020_Limits_x0020_Working_x0020_Group xmlns="197eb1e5-95f1-4a51-9dfd-7ef215a3842c" xsi:nil="true"/>
    <TaxCatchAll xmlns="9771cffe-acc4-4f17-841a-997e8862a6af" xsi:nil="true"/>
    <Futures_x0020_Working_x0020_Group xmlns="197eb1e5-95f1-4a51-9dfd-7ef215a3842c" xsi:nil="true"/>
    <lcf76f155ced4ddcb4097134ff3c332f xmlns="197eb1e5-95f1-4a51-9dfd-7ef215a384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E229C8-A8D2-40DC-8129-B8B9D5395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eb1e5-95f1-4a51-9dfd-7ef215a3842c"/>
    <ds:schemaRef ds:uri="9771cffe-acc4-4f17-841a-997e8862a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8526A3-61CF-46A8-8DD2-AB5AFC039AD4}">
  <ds:schemaRefs>
    <ds:schemaRef ds:uri="http://schemas.microsoft.com/office/2006/metadata/properties"/>
    <ds:schemaRef ds:uri="http://schemas.microsoft.com/office/infopath/2007/PartnerControls"/>
    <ds:schemaRef ds:uri="197eb1e5-95f1-4a51-9dfd-7ef215a3842c"/>
    <ds:schemaRef ds:uri="9771cffe-acc4-4f17-841a-997e8862a6af"/>
  </ds:schemaRefs>
</ds:datastoreItem>
</file>

<file path=customXml/itemProps3.xml><?xml version="1.0" encoding="utf-8"?>
<ds:datastoreItem xmlns:ds="http://schemas.openxmlformats.org/officeDocument/2006/customXml" ds:itemID="{D70FB8E1-F63A-4CB7-A7B1-DFED49FD80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1140</Words>
  <Characters>6000</Characters>
  <Application>Microsoft Office Word</Application>
  <DocSecurity>0</DocSecurity>
  <Lines>113</Lines>
  <Paragraphs>39</Paragraphs>
  <ScaleCrop>false</ScaleCrop>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Lantsbury, Claire (Judicial Office)</dc:creator>
  <cp:keywords/>
  <dc:description/>
  <cp:lastModifiedBy>Smith, Chris (Judicial Office)</cp:lastModifiedBy>
  <cp:revision>8</cp:revision>
  <dcterms:created xsi:type="dcterms:W3CDTF">2026-04-20T10:01:00Z</dcterms:created>
  <dcterms:modified xsi:type="dcterms:W3CDTF">2026-04-28T15:16:00Z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0x010100EB017E76747E7F4692201F2C371EDD11</vt:lpwstr>
  </property>
  <property fmtid="{D5CDD505-2E9C-101B-9397-08002B2CF9AE}" pid="3" name="MediaServiceImageTags">
    <vt:lpwstr/>
  </property>
</Properties>
</file>