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E57A3" w14:textId="77777777" w:rsidR="00934C30" w:rsidRDefault="00934C30" w:rsidP="00934C30">
      <w:pPr>
        <w:jc w:val="center"/>
        <w:rPr>
          <w:b/>
          <w:bCs/>
          <w:smallCaps/>
        </w:rPr>
      </w:pPr>
      <w:r>
        <w:rPr>
          <w:noProof/>
        </w:rPr>
        <w:drawing>
          <wp:anchor distT="0" distB="0" distL="114300" distR="114300" simplePos="0" relativeHeight="251659264" behindDoc="1" locked="0" layoutInCell="1" allowOverlap="1" wp14:anchorId="1330C472" wp14:editId="2E45161C">
            <wp:simplePos x="0" y="0"/>
            <wp:positionH relativeFrom="margin">
              <wp:align>center</wp:align>
            </wp:positionH>
            <wp:positionV relativeFrom="paragraph">
              <wp:posOffset>11430</wp:posOffset>
            </wp:positionV>
            <wp:extent cx="2457450" cy="438150"/>
            <wp:effectExtent l="0" t="0" r="0" b="0"/>
            <wp:wrapTight wrapText="bothSides">
              <wp:wrapPolygon edited="0">
                <wp:start x="1340" y="0"/>
                <wp:lineTo x="0" y="4696"/>
                <wp:lineTo x="0" y="19722"/>
                <wp:lineTo x="2512" y="20661"/>
                <wp:lineTo x="20093" y="20661"/>
                <wp:lineTo x="21265" y="20661"/>
                <wp:lineTo x="21433" y="15965"/>
                <wp:lineTo x="21433" y="12209"/>
                <wp:lineTo x="15237" y="0"/>
                <wp:lineTo x="134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438150"/>
                    </a:xfrm>
                    <a:prstGeom prst="rect">
                      <a:avLst/>
                    </a:prstGeom>
                    <a:noFill/>
                  </pic:spPr>
                </pic:pic>
              </a:graphicData>
            </a:graphic>
            <wp14:sizeRelH relativeFrom="margin">
              <wp14:pctWidth>0</wp14:pctWidth>
            </wp14:sizeRelH>
            <wp14:sizeRelV relativeFrom="margin">
              <wp14:pctHeight>0</wp14:pctHeight>
            </wp14:sizeRelV>
          </wp:anchor>
        </w:drawing>
      </w:r>
    </w:p>
    <w:p w14:paraId="24D4CFB3" w14:textId="77777777" w:rsidR="00934C30" w:rsidRPr="002671DD" w:rsidRDefault="00934C30" w:rsidP="00934C30"/>
    <w:p w14:paraId="4BD1CFBA" w14:textId="77777777" w:rsidR="00934C30" w:rsidRDefault="00934C30">
      <w:pPr>
        <w:pStyle w:val="Heading2"/>
      </w:pPr>
    </w:p>
    <w:p w14:paraId="3A8C68DB" w14:textId="72AF580D" w:rsidR="00127581" w:rsidRPr="000E48A3" w:rsidRDefault="00103BE7">
      <w:pPr>
        <w:pStyle w:val="Heading2"/>
        <w:rPr>
          <w:rFonts w:ascii="Times New Roman" w:hAnsi="Times New Roman" w:cs="Times New Roman"/>
        </w:rPr>
      </w:pPr>
      <w:r w:rsidRPr="000E48A3">
        <w:rPr>
          <w:rFonts w:ascii="Times New Roman" w:hAnsi="Times New Roman" w:cs="Times New Roman"/>
        </w:rPr>
        <w:t>Tax Tribunals Users Group Meeting</w:t>
      </w:r>
    </w:p>
    <w:p w14:paraId="379F7233" w14:textId="03A6A39C" w:rsidR="00127581" w:rsidRPr="000E48A3" w:rsidRDefault="00103BE7">
      <w:pPr>
        <w:rPr>
          <w:rFonts w:ascii="Times New Roman" w:hAnsi="Times New Roman" w:cs="Times New Roman"/>
        </w:rPr>
      </w:pPr>
      <w:r w:rsidRPr="000E48A3">
        <w:rPr>
          <w:rFonts w:ascii="Times New Roman" w:hAnsi="Times New Roman" w:cs="Times New Roman"/>
          <w:b/>
          <w:bCs/>
        </w:rPr>
        <w:t>Held via Teams</w:t>
      </w:r>
      <w:r w:rsidRPr="000E48A3">
        <w:rPr>
          <w:rFonts w:ascii="Times New Roman" w:hAnsi="Times New Roman" w:cs="Times New Roman"/>
        </w:rPr>
        <w:br/>
      </w:r>
      <w:r w:rsidRPr="000E48A3">
        <w:rPr>
          <w:rFonts w:ascii="Times New Roman" w:hAnsi="Times New Roman" w:cs="Times New Roman"/>
          <w:b/>
          <w:bCs/>
        </w:rPr>
        <w:t>Date:</w:t>
      </w:r>
      <w:r w:rsidRPr="000E48A3">
        <w:rPr>
          <w:rFonts w:ascii="Times New Roman" w:hAnsi="Times New Roman" w:cs="Times New Roman"/>
        </w:rPr>
        <w:t xml:space="preserve"> </w:t>
      </w:r>
      <w:r w:rsidR="002A6344">
        <w:rPr>
          <w:rFonts w:ascii="Times New Roman" w:hAnsi="Times New Roman" w:cs="Times New Roman"/>
        </w:rPr>
        <w:t>23</w:t>
      </w:r>
      <w:r w:rsidRPr="000E48A3">
        <w:rPr>
          <w:rFonts w:ascii="Times New Roman" w:hAnsi="Times New Roman" w:cs="Times New Roman"/>
        </w:rPr>
        <w:t xml:space="preserve"> </w:t>
      </w:r>
      <w:r w:rsidR="002A6344">
        <w:rPr>
          <w:rFonts w:ascii="Times New Roman" w:hAnsi="Times New Roman" w:cs="Times New Roman"/>
        </w:rPr>
        <w:t>April</w:t>
      </w:r>
      <w:r w:rsidRPr="000E48A3">
        <w:rPr>
          <w:rFonts w:ascii="Times New Roman" w:hAnsi="Times New Roman" w:cs="Times New Roman"/>
        </w:rPr>
        <w:t xml:space="preserve"> 202</w:t>
      </w:r>
      <w:r w:rsidR="002A6344">
        <w:rPr>
          <w:rFonts w:ascii="Times New Roman" w:hAnsi="Times New Roman" w:cs="Times New Roman"/>
        </w:rPr>
        <w:t>6</w:t>
      </w:r>
      <w:r w:rsidRPr="000E48A3">
        <w:rPr>
          <w:rFonts w:ascii="Times New Roman" w:hAnsi="Times New Roman" w:cs="Times New Roman"/>
        </w:rPr>
        <w:br/>
      </w:r>
      <w:r w:rsidRPr="000E48A3">
        <w:rPr>
          <w:rFonts w:ascii="Times New Roman" w:hAnsi="Times New Roman" w:cs="Times New Roman"/>
          <w:b/>
          <w:bCs/>
        </w:rPr>
        <w:t>Time:</w:t>
      </w:r>
      <w:r w:rsidRPr="000E48A3">
        <w:rPr>
          <w:rFonts w:ascii="Times New Roman" w:hAnsi="Times New Roman" w:cs="Times New Roman"/>
        </w:rPr>
        <w:t xml:space="preserve"> 16:</w:t>
      </w:r>
      <w:r w:rsidR="00E94EE0">
        <w:rPr>
          <w:rFonts w:ascii="Times New Roman" w:hAnsi="Times New Roman" w:cs="Times New Roman"/>
        </w:rPr>
        <w:t>45</w:t>
      </w:r>
      <w:r w:rsidRPr="000E48A3">
        <w:rPr>
          <w:rFonts w:ascii="Times New Roman" w:hAnsi="Times New Roman" w:cs="Times New Roman"/>
        </w:rPr>
        <w:t xml:space="preserve"> – 17:</w:t>
      </w:r>
      <w:r w:rsidR="002A6344">
        <w:rPr>
          <w:rFonts w:ascii="Times New Roman" w:hAnsi="Times New Roman" w:cs="Times New Roman"/>
        </w:rPr>
        <w:t>45</w:t>
      </w:r>
    </w:p>
    <w:p w14:paraId="7AECE3CB" w14:textId="77777777" w:rsidR="00127581" w:rsidRPr="000E48A3" w:rsidRDefault="00103BE7" w:rsidP="004A4180">
      <w:pPr>
        <w:pStyle w:val="Heading3"/>
        <w:rPr>
          <w:rFonts w:ascii="Times New Roman" w:hAnsi="Times New Roman" w:cs="Times New Roman"/>
        </w:rPr>
      </w:pPr>
      <w:r w:rsidRPr="000E48A3">
        <w:rPr>
          <w:rFonts w:ascii="Times New Roman" w:hAnsi="Times New Roman" w:cs="Times New Roman"/>
        </w:rPr>
        <w:t>Minutes</w:t>
      </w:r>
    </w:p>
    <w:p w14:paraId="6CEBD7B5" w14:textId="230FED5C" w:rsidR="00127581" w:rsidRPr="000E48A3" w:rsidRDefault="00103BE7" w:rsidP="00E23ADE">
      <w:pPr>
        <w:pStyle w:val="Heading4"/>
        <w:spacing w:before="0" w:after="160" w:line="240" w:lineRule="auto"/>
        <w:rPr>
          <w:rFonts w:ascii="Times New Roman" w:hAnsi="Times New Roman" w:cs="Times New Roman"/>
          <w:sz w:val="28"/>
          <w:szCs w:val="28"/>
        </w:rPr>
      </w:pPr>
      <w:r w:rsidRPr="000E48A3">
        <w:rPr>
          <w:rFonts w:ascii="Times New Roman" w:hAnsi="Times New Roman" w:cs="Times New Roman"/>
          <w:sz w:val="28"/>
          <w:szCs w:val="28"/>
        </w:rPr>
        <w:t>Welcome and Introductions</w:t>
      </w:r>
    </w:p>
    <w:p w14:paraId="2EBF296D" w14:textId="0C228212" w:rsidR="00127581" w:rsidRPr="000E48A3" w:rsidRDefault="00103BE7" w:rsidP="000E48A3">
      <w:pPr>
        <w:pStyle w:val="Taxbodytext1"/>
        <w:rPr>
          <w:rFonts w:cs="Times New Roman"/>
        </w:rPr>
      </w:pPr>
      <w:r w:rsidRPr="000E48A3">
        <w:rPr>
          <w:rFonts w:cs="Times New Roman"/>
        </w:rPr>
        <w:t>The meeting was opened by Judge Amanda Brown KC, who welcomed attendees to</w:t>
      </w:r>
      <w:r w:rsidR="00D85E02">
        <w:rPr>
          <w:rFonts w:cs="Times New Roman"/>
        </w:rPr>
        <w:t xml:space="preserve"> the</w:t>
      </w:r>
      <w:r w:rsidRPr="000E48A3">
        <w:rPr>
          <w:rFonts w:cs="Times New Roman"/>
        </w:rPr>
        <w:t xml:space="preserve"> Tax Tribunals Users Group meeting</w:t>
      </w:r>
      <w:r w:rsidR="00811AFF">
        <w:rPr>
          <w:rFonts w:cs="Times New Roman"/>
        </w:rPr>
        <w:t>.</w:t>
      </w:r>
      <w:r w:rsidRPr="000E48A3">
        <w:rPr>
          <w:rFonts w:cs="Times New Roman"/>
        </w:rPr>
        <w:t xml:space="preserve"> Judge Brown introduced Upper Tribunal </w:t>
      </w:r>
      <w:r w:rsidR="00B432FD">
        <w:rPr>
          <w:rFonts w:cs="Times New Roman"/>
        </w:rPr>
        <w:t>Tax and Chancery Chamber President Mr Justice Thompsell,</w:t>
      </w:r>
      <w:r w:rsidR="0086474C">
        <w:rPr>
          <w:rFonts w:cs="Times New Roman"/>
        </w:rPr>
        <w:t xml:space="preserve"> who was appointed as Chamber President on </w:t>
      </w:r>
      <w:r w:rsidR="00C001EA">
        <w:rPr>
          <w:rFonts w:cs="Times New Roman"/>
        </w:rPr>
        <w:t>1 October 2025</w:t>
      </w:r>
      <w:r w:rsidRPr="000E48A3">
        <w:rPr>
          <w:rFonts w:cs="Times New Roman"/>
        </w:rPr>
        <w:t xml:space="preserve">, </w:t>
      </w:r>
      <w:r w:rsidR="0086474C">
        <w:rPr>
          <w:rFonts w:cs="Times New Roman"/>
        </w:rPr>
        <w:t>and therefore attend</w:t>
      </w:r>
      <w:r w:rsidR="00C001EA">
        <w:rPr>
          <w:rFonts w:cs="Times New Roman"/>
        </w:rPr>
        <w:t>ing</w:t>
      </w:r>
      <w:r w:rsidR="0086474C">
        <w:rPr>
          <w:rFonts w:cs="Times New Roman"/>
        </w:rPr>
        <w:t xml:space="preserve"> his first Tax Tribunal Users Group </w:t>
      </w:r>
      <w:r w:rsidR="00C001EA">
        <w:rPr>
          <w:rFonts w:cs="Times New Roman"/>
        </w:rPr>
        <w:t>Meeting</w:t>
      </w:r>
      <w:r w:rsidR="0086474C">
        <w:rPr>
          <w:rFonts w:cs="Times New Roman"/>
        </w:rPr>
        <w:t>.</w:t>
      </w:r>
    </w:p>
    <w:p w14:paraId="345F2515" w14:textId="6164272A" w:rsidR="00127581" w:rsidRPr="000E48A3" w:rsidRDefault="00103BE7" w:rsidP="00E23ADE">
      <w:pPr>
        <w:pStyle w:val="Heading4"/>
        <w:spacing w:before="0" w:after="160" w:line="240" w:lineRule="auto"/>
        <w:rPr>
          <w:rFonts w:ascii="Times New Roman" w:hAnsi="Times New Roman" w:cs="Times New Roman"/>
          <w:sz w:val="28"/>
          <w:szCs w:val="28"/>
        </w:rPr>
      </w:pPr>
      <w:r w:rsidRPr="000E48A3">
        <w:rPr>
          <w:rFonts w:ascii="Times New Roman" w:hAnsi="Times New Roman" w:cs="Times New Roman"/>
          <w:sz w:val="28"/>
          <w:szCs w:val="28"/>
        </w:rPr>
        <w:t>First-tier Tribunal (FTT) Tax Chamber Update</w:t>
      </w:r>
    </w:p>
    <w:p w14:paraId="5F1B1553" w14:textId="3B1C2F8F" w:rsidR="006D2768" w:rsidRDefault="006D2768" w:rsidP="000E48A3">
      <w:pPr>
        <w:pStyle w:val="Taxbodytext1"/>
        <w:rPr>
          <w:rFonts w:cs="Times New Roman"/>
        </w:rPr>
      </w:pPr>
      <w:r>
        <w:rPr>
          <w:rFonts w:cs="Times New Roman"/>
        </w:rPr>
        <w:t>Judge Brown reported that the year ending 31 March 2026</w:t>
      </w:r>
      <w:r w:rsidR="00115B44">
        <w:rPr>
          <w:rFonts w:cs="Times New Roman"/>
        </w:rPr>
        <w:t xml:space="preserve"> concluded with a lower</w:t>
      </w:r>
      <w:r w:rsidR="00791426">
        <w:rPr>
          <w:rFonts w:cs="Times New Roman"/>
        </w:rPr>
        <w:t xml:space="preserve"> outstanding active caseload</w:t>
      </w:r>
      <w:r w:rsidR="00EC5700">
        <w:rPr>
          <w:rFonts w:cs="Times New Roman"/>
        </w:rPr>
        <w:t>, excluding VAT Umbrella appeals and stays,</w:t>
      </w:r>
      <w:r w:rsidR="00791426">
        <w:rPr>
          <w:rFonts w:cs="Times New Roman"/>
        </w:rPr>
        <w:t xml:space="preserve"> compared to the start of the year.</w:t>
      </w:r>
      <w:r w:rsidR="00B0681A">
        <w:rPr>
          <w:rFonts w:cs="Times New Roman"/>
        </w:rPr>
        <w:t xml:space="preserve"> The caseload continues to decrease year-on-year</w:t>
      </w:r>
      <w:r w:rsidR="00286A10">
        <w:rPr>
          <w:rFonts w:cs="Times New Roman"/>
        </w:rPr>
        <w:t>. The figures provided are</w:t>
      </w:r>
      <w:r w:rsidR="00C5683F">
        <w:rPr>
          <w:rFonts w:cs="Times New Roman"/>
        </w:rPr>
        <w:t xml:space="preserve"> system-generated and unaudited. </w:t>
      </w:r>
    </w:p>
    <w:p w14:paraId="378FEFF8" w14:textId="7A785DFB" w:rsidR="007A6E21" w:rsidRPr="006B2748" w:rsidRDefault="00C5683F" w:rsidP="006B2748">
      <w:pPr>
        <w:pStyle w:val="Taxbodytext1"/>
        <w:rPr>
          <w:rFonts w:cs="Times New Roman"/>
        </w:rPr>
      </w:pPr>
      <w:r>
        <w:rPr>
          <w:rFonts w:cs="Times New Roman"/>
        </w:rPr>
        <w:t>In-person hearings at Tribunal Hearing Centres remain the default format for listing of substan</w:t>
      </w:r>
      <w:r w:rsidR="00811AFF">
        <w:rPr>
          <w:rFonts w:cs="Times New Roman"/>
        </w:rPr>
        <w:t>tive</w:t>
      </w:r>
      <w:r>
        <w:rPr>
          <w:rFonts w:cs="Times New Roman"/>
        </w:rPr>
        <w:t xml:space="preserve"> standard and complex hearings. Basic cases, which are predominantly penalty appeals, are by default listed as remote (video) hearings.</w:t>
      </w:r>
      <w:r w:rsidR="00B110FC">
        <w:rPr>
          <w:rFonts w:cs="Times New Roman"/>
        </w:rPr>
        <w:t xml:space="preserve"> Standard and complex cases may be listed as video hearings where the judge considers that to be appropriate in the circumstances</w:t>
      </w:r>
      <w:r w:rsidR="00DB5A3C">
        <w:rPr>
          <w:rFonts w:cs="Times New Roman"/>
        </w:rPr>
        <w:t xml:space="preserve">. </w:t>
      </w:r>
      <w:r w:rsidR="007A6E21" w:rsidRPr="006B2748">
        <w:rPr>
          <w:rFonts w:cs="Times New Roman"/>
        </w:rPr>
        <w:t>From 1 May</w:t>
      </w:r>
      <w:r w:rsidR="00811AFF">
        <w:rPr>
          <w:rFonts w:cs="Times New Roman"/>
        </w:rPr>
        <w:t xml:space="preserve"> 2026</w:t>
      </w:r>
      <w:r w:rsidR="007A6E21" w:rsidRPr="006B2748">
        <w:rPr>
          <w:rFonts w:cs="Times New Roman"/>
        </w:rPr>
        <w:t xml:space="preserve"> the Chamber will list all remote hearings</w:t>
      </w:r>
      <w:r w:rsidR="00F95BF9" w:rsidRPr="006B2748">
        <w:rPr>
          <w:rFonts w:cs="Times New Roman"/>
        </w:rPr>
        <w:t xml:space="preserve"> using the Cloud Video Platform (CVP), as</w:t>
      </w:r>
      <w:r w:rsidR="001A0AA0">
        <w:rPr>
          <w:rFonts w:cs="Times New Roman"/>
        </w:rPr>
        <w:t xml:space="preserve"> it</w:t>
      </w:r>
      <w:r w:rsidR="00F95BF9" w:rsidRPr="006B2748">
        <w:rPr>
          <w:rFonts w:cs="Times New Roman"/>
        </w:rPr>
        <w:t xml:space="preserve"> is the default video </w:t>
      </w:r>
      <w:r w:rsidR="00543148" w:rsidRPr="006B2748">
        <w:rPr>
          <w:rFonts w:cs="Times New Roman"/>
        </w:rPr>
        <w:t xml:space="preserve">or hybrid </w:t>
      </w:r>
      <w:r w:rsidR="00F95BF9" w:rsidRPr="006B2748">
        <w:rPr>
          <w:rFonts w:cs="Times New Roman"/>
        </w:rPr>
        <w:t>hearing platform for other Chambers. All CVP hearings are recorded</w:t>
      </w:r>
      <w:r w:rsidR="001E6A92" w:rsidRPr="006B2748">
        <w:rPr>
          <w:rFonts w:cs="Times New Roman"/>
        </w:rPr>
        <w:t xml:space="preserve">, meaning that where an </w:t>
      </w:r>
      <w:r w:rsidR="001E6A92" w:rsidRPr="006B2748">
        <w:rPr>
          <w:rFonts w:cs="Times New Roman"/>
          <w:i/>
          <w:iCs/>
        </w:rPr>
        <w:t xml:space="preserve">ex tempore </w:t>
      </w:r>
      <w:r w:rsidR="001E6A92" w:rsidRPr="006B2748">
        <w:rPr>
          <w:rFonts w:cs="Times New Roman"/>
        </w:rPr>
        <w:t>judgment is given, the transcript taken from the recording will stand as the</w:t>
      </w:r>
      <w:r w:rsidR="00986286" w:rsidRPr="006B2748">
        <w:rPr>
          <w:rFonts w:cs="Times New Roman"/>
        </w:rPr>
        <w:t xml:space="preserve"> judgment </w:t>
      </w:r>
      <w:r w:rsidR="001E6A92" w:rsidRPr="006B2748">
        <w:rPr>
          <w:rFonts w:cs="Times New Roman"/>
        </w:rPr>
        <w:t>in the</w:t>
      </w:r>
      <w:r w:rsidR="00986286" w:rsidRPr="006B2748">
        <w:rPr>
          <w:rFonts w:cs="Times New Roman"/>
        </w:rPr>
        <w:t xml:space="preserve"> matter.</w:t>
      </w:r>
      <w:r w:rsidR="00C4478D" w:rsidRPr="006B2748">
        <w:rPr>
          <w:rFonts w:cs="Times New Roman"/>
        </w:rPr>
        <w:t xml:space="preserve"> </w:t>
      </w:r>
    </w:p>
    <w:p w14:paraId="1B6C0D7A" w14:textId="2BF78ADA" w:rsidR="00EC2DCE" w:rsidRDefault="00EC2DCE" w:rsidP="000E48A3">
      <w:pPr>
        <w:pStyle w:val="Taxbodytext1"/>
        <w:rPr>
          <w:rFonts w:cs="Times New Roman"/>
        </w:rPr>
      </w:pPr>
      <w:r>
        <w:rPr>
          <w:rFonts w:cs="Times New Roman"/>
        </w:rPr>
        <w:t>During 2025-26, there were a total of 1095 hearings split between 206 face-to-face; 661 video</w:t>
      </w:r>
      <w:r w:rsidR="00811AFF">
        <w:rPr>
          <w:rFonts w:cs="Times New Roman"/>
        </w:rPr>
        <w:t>;</w:t>
      </w:r>
      <w:r>
        <w:rPr>
          <w:rFonts w:cs="Times New Roman"/>
        </w:rPr>
        <w:t xml:space="preserve"> 61 hybrid</w:t>
      </w:r>
      <w:r w:rsidR="00811AFF">
        <w:rPr>
          <w:rFonts w:cs="Times New Roman"/>
        </w:rPr>
        <w:t>;</w:t>
      </w:r>
      <w:r>
        <w:rPr>
          <w:rFonts w:cs="Times New Roman"/>
        </w:rPr>
        <w:t xml:space="preserve"> 167 paper and 0 telephone.</w:t>
      </w:r>
      <w:r w:rsidR="006B2748">
        <w:rPr>
          <w:rFonts w:cs="Times New Roman"/>
        </w:rPr>
        <w:t xml:space="preserve"> These figures are per listed matter and not hearing days.</w:t>
      </w:r>
    </w:p>
    <w:p w14:paraId="72D2C56E" w14:textId="66C1EA9E" w:rsidR="00127581" w:rsidRPr="0084263D" w:rsidRDefault="00103BE7" w:rsidP="0084263D">
      <w:pPr>
        <w:pStyle w:val="Heading5"/>
        <w:rPr>
          <w:rFonts w:ascii="Times New Roman" w:hAnsi="Times New Roman" w:cs="Times New Roman"/>
        </w:rPr>
      </w:pPr>
      <w:r w:rsidRPr="0084263D">
        <w:rPr>
          <w:rFonts w:ascii="Times New Roman" w:hAnsi="Times New Roman" w:cs="Times New Roman"/>
        </w:rPr>
        <w:t>FTT Judicial HR</w:t>
      </w:r>
    </w:p>
    <w:p w14:paraId="56D43C3D" w14:textId="0062425D" w:rsidR="00DB5A3C" w:rsidRDefault="00DB5A3C" w:rsidP="000E48A3">
      <w:pPr>
        <w:pStyle w:val="Taxbodytext1"/>
      </w:pPr>
      <w:r>
        <w:t>Four new salaried judges have joined the Chamber in February and March 2026</w:t>
      </w:r>
      <w:r w:rsidR="005F6688">
        <w:t>, listed alphabetically</w:t>
      </w:r>
      <w:r w:rsidR="00B85D8B">
        <w:t xml:space="preserve"> by first name</w:t>
      </w:r>
      <w:r w:rsidR="005F6688">
        <w:t xml:space="preserve">: Judges </w:t>
      </w:r>
      <w:r w:rsidR="00B85D8B">
        <w:t xml:space="preserve">Hugo Holmes, </w:t>
      </w:r>
      <w:r w:rsidR="005F6688">
        <w:t>Judy Harrison</w:t>
      </w:r>
      <w:r w:rsidR="00B85D8B">
        <w:t>, Matt Donmall</w:t>
      </w:r>
      <w:r w:rsidR="005F6688">
        <w:t xml:space="preserve"> and </w:t>
      </w:r>
      <w:proofErr w:type="spellStart"/>
      <w:r w:rsidR="005F6688">
        <w:t>Shosh</w:t>
      </w:r>
      <w:proofErr w:type="spellEnd"/>
      <w:r w:rsidR="005F6688">
        <w:t xml:space="preserve"> </w:t>
      </w:r>
      <w:proofErr w:type="spellStart"/>
      <w:r w:rsidR="005F6688">
        <w:t>Stapenhust</w:t>
      </w:r>
      <w:proofErr w:type="spellEnd"/>
      <w:r w:rsidR="005F6688">
        <w:t>. There are now a total of fourteen salaried judges</w:t>
      </w:r>
      <w:r w:rsidR="002A2BB5">
        <w:t>.</w:t>
      </w:r>
      <w:r w:rsidR="005F6688">
        <w:t xml:space="preserve"> </w:t>
      </w:r>
      <w:r w:rsidR="002A2BB5">
        <w:t>A</w:t>
      </w:r>
      <w:r w:rsidR="005F6688">
        <w:t xml:space="preserve">gain listed alphabetically by first name, the remaining salaried team are: </w:t>
      </w:r>
      <w:r w:rsidR="000F7C23">
        <w:t>Judges Amanda Brown KC, Anne Fairpo, Geraint Williams, Harriet Morgan, Jennifer Dean, John Brooks, Kim Sukul, Michael Blackwell, Michaela Snelders and Ro Pettifer. Additionally, there are 51 fee-paid judges and 41 members.</w:t>
      </w:r>
    </w:p>
    <w:p w14:paraId="2869D4D1" w14:textId="1697C867" w:rsidR="00442BBF" w:rsidRDefault="00442BBF" w:rsidP="000E48A3">
      <w:pPr>
        <w:pStyle w:val="Taxbodytext1"/>
      </w:pPr>
      <w:r>
        <w:t>One fee-paid judge, Heather Gethin</w:t>
      </w:r>
      <w:r w:rsidR="00B977EA">
        <w:t>g</w:t>
      </w:r>
      <w:r>
        <w:t>, has reti</w:t>
      </w:r>
      <w:r w:rsidR="0079652E">
        <w:t>r</w:t>
      </w:r>
      <w:r>
        <w:t>ed from the Tribunal since the last meeting</w:t>
      </w:r>
      <w:r w:rsidR="00811AFF">
        <w:t>.</w:t>
      </w:r>
      <w:r>
        <w:t xml:space="preserve"> </w:t>
      </w:r>
      <w:r w:rsidR="00F929F2">
        <w:t xml:space="preserve">Terry Bayliss, who had been a member of the Tribunal for 17 years, sadly passed away at the beginning of this year. </w:t>
      </w:r>
    </w:p>
    <w:p w14:paraId="14C708C3" w14:textId="5F46F861" w:rsidR="00E164E0" w:rsidRPr="0084263D" w:rsidRDefault="00E164E0" w:rsidP="0084263D">
      <w:pPr>
        <w:pStyle w:val="Heading5"/>
        <w:rPr>
          <w:rFonts w:ascii="Times New Roman" w:hAnsi="Times New Roman" w:cs="Times New Roman"/>
        </w:rPr>
      </w:pPr>
      <w:r w:rsidRPr="0084263D">
        <w:rPr>
          <w:rFonts w:ascii="Times New Roman" w:hAnsi="Times New Roman" w:cs="Times New Roman"/>
        </w:rPr>
        <w:lastRenderedPageBreak/>
        <w:t>Overdue Decisions</w:t>
      </w:r>
    </w:p>
    <w:p w14:paraId="32A7E82C" w14:textId="350D125A" w:rsidR="00E164E0" w:rsidRDefault="00E164E0" w:rsidP="00E164E0">
      <w:pPr>
        <w:pStyle w:val="Taxbodytext1"/>
      </w:pPr>
      <w:r>
        <w:t>The matter of decisions being outstanding for longer than 12 weeks following completion of the hearing or final written submissions was raised at last year</w:t>
      </w:r>
      <w:r w:rsidR="00345790">
        <w:t>’s</w:t>
      </w:r>
      <w:r>
        <w:t xml:space="preserve"> meeting.</w:t>
      </w:r>
      <w:r w:rsidR="00DF4E69">
        <w:t xml:space="preserve"> The Chamber has since made significant progress in reducing the number of overdue decisions</w:t>
      </w:r>
      <w:r w:rsidR="00232033">
        <w:t>, being as low as 0 overdue,</w:t>
      </w:r>
      <w:r w:rsidR="00B67D3E">
        <w:t xml:space="preserve"> and judgments are systematically being issued within 12 weeks.</w:t>
      </w:r>
    </w:p>
    <w:p w14:paraId="2B33383E" w14:textId="5C4BA452" w:rsidR="00232033" w:rsidRPr="0084263D" w:rsidRDefault="00232033" w:rsidP="0084263D">
      <w:pPr>
        <w:pStyle w:val="Heading5"/>
        <w:rPr>
          <w:rFonts w:ascii="Times New Roman" w:hAnsi="Times New Roman" w:cs="Times New Roman"/>
        </w:rPr>
      </w:pPr>
      <w:r w:rsidRPr="0084263D">
        <w:rPr>
          <w:rFonts w:ascii="Times New Roman" w:hAnsi="Times New Roman" w:cs="Times New Roman"/>
        </w:rPr>
        <w:t>Duty Judge Scheme</w:t>
      </w:r>
    </w:p>
    <w:p w14:paraId="3C74CB55" w14:textId="7384AECA" w:rsidR="00232033" w:rsidRPr="00DB5A3C" w:rsidRDefault="00232033" w:rsidP="00232033">
      <w:pPr>
        <w:pStyle w:val="Taxbodytext1"/>
      </w:pPr>
      <w:r>
        <w:t xml:space="preserve">A Duty Judge scheme was introduced in the Chamber on 6 May 2025. </w:t>
      </w:r>
      <w:r w:rsidR="002E7C79">
        <w:t>The scheme ensures a salaried judge is available each day to case manage referral</w:t>
      </w:r>
      <w:r w:rsidR="001E55B8">
        <w:t>s</w:t>
      </w:r>
      <w:r w:rsidR="004A1E73">
        <w:t xml:space="preserve"> and has contributed to a significant decrease in the backlog of files in case progression.</w:t>
      </w:r>
    </w:p>
    <w:p w14:paraId="1CE28A1E" w14:textId="69F4EEFF" w:rsidR="003A715D" w:rsidRPr="0084263D" w:rsidRDefault="003A715D" w:rsidP="003A715D">
      <w:pPr>
        <w:pStyle w:val="Heading5"/>
        <w:rPr>
          <w:rFonts w:ascii="Times New Roman" w:hAnsi="Times New Roman" w:cs="Times New Roman"/>
        </w:rPr>
      </w:pPr>
      <w:r>
        <w:rPr>
          <w:rFonts w:ascii="Times New Roman" w:hAnsi="Times New Roman" w:cs="Times New Roman"/>
        </w:rPr>
        <w:t>Practice Statements</w:t>
      </w:r>
    </w:p>
    <w:p w14:paraId="39D97365" w14:textId="2B8B17D1" w:rsidR="003A715D" w:rsidRPr="00DB5A3C" w:rsidRDefault="003A715D" w:rsidP="003A715D">
      <w:pPr>
        <w:pStyle w:val="Taxbodytext1"/>
      </w:pPr>
      <w:r>
        <w:t xml:space="preserve">Judge Brown </w:t>
      </w:r>
      <w:r w:rsidR="00055A78">
        <w:t>has issued t</w:t>
      </w:r>
      <w:r w:rsidR="004A40D0">
        <w:t>hree</w:t>
      </w:r>
      <w:r w:rsidR="00055A78">
        <w:t xml:space="preserve"> Practice Statements in the past year; an updated Practice Statement on Alternative Dispute Resolution </w:t>
      </w:r>
      <w:r w:rsidR="002E0929">
        <w:t>(</w:t>
      </w:r>
      <w:hyperlink r:id="rId9" w:history="1">
        <w:r w:rsidR="002E0929" w:rsidRPr="002E0929">
          <w:rPr>
            <w:rStyle w:val="Hyperlink"/>
          </w:rPr>
          <w:t>260122 FTT Tax Chamber Practice Statement on ADR amended for EOT</w:t>
        </w:r>
      </w:hyperlink>
      <w:r w:rsidR="00921914">
        <w:t>)</w:t>
      </w:r>
      <w:r w:rsidR="004A40D0">
        <w:t>; one</w:t>
      </w:r>
      <w:r w:rsidR="00055A78">
        <w:t xml:space="preserve"> </w:t>
      </w:r>
      <w:r w:rsidR="001D6F3C">
        <w:t xml:space="preserve">on Extension of Time </w:t>
      </w:r>
      <w:r w:rsidR="00BF0937">
        <w:t>(</w:t>
      </w:r>
      <w:hyperlink r:id="rId10" w:history="1">
        <w:r w:rsidR="00BF0937" w:rsidRPr="00BF0937">
          <w:rPr>
            <w:rStyle w:val="Hyperlink"/>
          </w:rPr>
          <w:t>260122 Extension of Time etc Practice statement - ADR amended</w:t>
        </w:r>
      </w:hyperlink>
      <w:r w:rsidR="004A40D0">
        <w:t xml:space="preserve"> and</w:t>
      </w:r>
      <w:r w:rsidR="00781E96">
        <w:t xml:space="preserve"> a</w:t>
      </w:r>
      <w:r w:rsidR="004A40D0">
        <w:t xml:space="preserve"> </w:t>
      </w:r>
      <w:r w:rsidR="009D7901">
        <w:t xml:space="preserve">Practice Statement on Taking </w:t>
      </w:r>
      <w:r w:rsidR="00F90891">
        <w:t xml:space="preserve">Oral </w:t>
      </w:r>
      <w:r w:rsidR="009D7901">
        <w:t xml:space="preserve">Evidence from Abroad </w:t>
      </w:r>
      <w:r w:rsidR="004B6634">
        <w:t>(</w:t>
      </w:r>
      <w:hyperlink r:id="rId11" w:history="1">
        <w:r w:rsidR="004B6634">
          <w:rPr>
            <w:rStyle w:val="Hyperlink"/>
          </w:rPr>
          <w:t>Practice Statement F-</w:t>
        </w:r>
        <w:proofErr w:type="spellStart"/>
        <w:r w:rsidR="004B6634">
          <w:rPr>
            <w:rStyle w:val="Hyperlink"/>
          </w:rPr>
          <w:t>tT</w:t>
        </w:r>
        <w:proofErr w:type="spellEnd"/>
        <w:r w:rsidR="004B6634">
          <w:rPr>
            <w:rStyle w:val="Hyperlink"/>
          </w:rPr>
          <w:t xml:space="preserve"> Tax Chamber - Taking Oral Evidence from Abroad</w:t>
        </w:r>
      </w:hyperlink>
      <w:r w:rsidR="004B6634">
        <w:t>)</w:t>
      </w:r>
      <w:r w:rsidR="00193DC2">
        <w:t>.</w:t>
      </w:r>
      <w:r w:rsidR="00903995">
        <w:t>The statement on taking evidence from abroad is under review following</w:t>
      </w:r>
      <w:r w:rsidR="00781E96">
        <w:t xml:space="preserve"> </w:t>
      </w:r>
      <w:r w:rsidR="00903995">
        <w:t>a  recent Court of Appeal judgment which indicated that evidence may be received from abroad.</w:t>
      </w:r>
    </w:p>
    <w:p w14:paraId="5BFFF7D6" w14:textId="25DCE9A3" w:rsidR="0029497D" w:rsidRPr="00F14959" w:rsidRDefault="0029497D" w:rsidP="0029497D">
      <w:pPr>
        <w:pStyle w:val="Heading4"/>
        <w:spacing w:before="0" w:after="160" w:line="240" w:lineRule="auto"/>
        <w:rPr>
          <w:rFonts w:ascii="Times New Roman" w:hAnsi="Times New Roman" w:cs="Times New Roman"/>
          <w:sz w:val="28"/>
          <w:szCs w:val="28"/>
        </w:rPr>
      </w:pPr>
      <w:r w:rsidRPr="00F14959">
        <w:rPr>
          <w:rFonts w:ascii="Times New Roman" w:hAnsi="Times New Roman" w:cs="Times New Roman"/>
          <w:sz w:val="28"/>
          <w:szCs w:val="28"/>
        </w:rPr>
        <w:t>HMRC</w:t>
      </w:r>
      <w:r w:rsidR="00A100A6" w:rsidRPr="00F14959">
        <w:rPr>
          <w:rFonts w:ascii="Times New Roman" w:hAnsi="Times New Roman" w:cs="Times New Roman"/>
          <w:sz w:val="28"/>
          <w:szCs w:val="28"/>
        </w:rPr>
        <w:t xml:space="preserve"> Litigation and Settlement Strategy</w:t>
      </w:r>
    </w:p>
    <w:p w14:paraId="0680C30A" w14:textId="7C943241" w:rsidR="00E164E0" w:rsidRPr="00F03BC9" w:rsidRDefault="00F14959" w:rsidP="000E48A3">
      <w:pPr>
        <w:pStyle w:val="Taxbodytext1"/>
      </w:pPr>
      <w:r w:rsidRPr="00F14959">
        <w:rPr>
          <w:rFonts w:cs="Times New Roman"/>
        </w:rPr>
        <w:t>Joseph Whittome (HMRC)</w:t>
      </w:r>
      <w:r>
        <w:rPr>
          <w:rFonts w:cs="Times New Roman"/>
        </w:rPr>
        <w:t xml:space="preserve"> provided </w:t>
      </w:r>
      <w:r w:rsidR="004B6634">
        <w:rPr>
          <w:rFonts w:cs="Times New Roman"/>
        </w:rPr>
        <w:t>a</w:t>
      </w:r>
      <w:r>
        <w:rPr>
          <w:rFonts w:cs="Times New Roman"/>
        </w:rPr>
        <w:t xml:space="preserve">n update on HMRC’s review of the Litigation and Settlement Strategy, which is the framework governing how civil tax disputes are handled and resolved. The review </w:t>
      </w:r>
      <w:r w:rsidR="004B6634">
        <w:rPr>
          <w:rFonts w:cs="Times New Roman"/>
        </w:rPr>
        <w:t>aim</w:t>
      </w:r>
      <w:r>
        <w:rPr>
          <w:rFonts w:cs="Times New Roman"/>
        </w:rPr>
        <w:t xml:space="preserve">s to ensure the framework remains robust, is clearer and more accessible, while </w:t>
      </w:r>
      <w:r w:rsidR="004B6634">
        <w:rPr>
          <w:rFonts w:cs="Times New Roman"/>
        </w:rPr>
        <w:t xml:space="preserve">also </w:t>
      </w:r>
      <w:r w:rsidR="00F03BC9">
        <w:rPr>
          <w:rFonts w:cs="Times New Roman"/>
        </w:rPr>
        <w:t>maintaining</w:t>
      </w:r>
      <w:r>
        <w:rPr>
          <w:rFonts w:cs="Times New Roman"/>
        </w:rPr>
        <w:t xml:space="preserve"> its core principl</w:t>
      </w:r>
      <w:r w:rsidR="00F03BC9">
        <w:rPr>
          <w:rFonts w:cs="Times New Roman"/>
        </w:rPr>
        <w:t>es of lawful, fair and consistent dispute resolution.</w:t>
      </w:r>
    </w:p>
    <w:p w14:paraId="2EEE7B66" w14:textId="3D445CC6" w:rsidR="00F03BC9" w:rsidRPr="00AD2339" w:rsidRDefault="00F03BC9" w:rsidP="00F245BF">
      <w:pPr>
        <w:pStyle w:val="Taxbodytext1"/>
      </w:pPr>
      <w:r>
        <w:rPr>
          <w:rFonts w:cs="Times New Roman"/>
        </w:rPr>
        <w:t>Key areas of focus include strengthening early resolution and dispute prevention, improving alignment with the HMRC Charter and professional standards and simplifying guidance and terminology.</w:t>
      </w:r>
      <w:r w:rsidR="00F245BF">
        <w:t xml:space="preserve"> </w:t>
      </w:r>
      <w:r w:rsidRPr="00F245BF">
        <w:rPr>
          <w:rFonts w:cs="Times New Roman"/>
        </w:rPr>
        <w:t xml:space="preserve">Potential changes under consideration </w:t>
      </w:r>
      <w:r w:rsidR="00AD2339" w:rsidRPr="00F245BF">
        <w:rPr>
          <w:rFonts w:cs="Times New Roman"/>
        </w:rPr>
        <w:t xml:space="preserve">include restructuring the framework, clarifying its purpose and providing improved guidance and practical examples. </w:t>
      </w:r>
    </w:p>
    <w:p w14:paraId="05580BA4" w14:textId="3DA7AB2A" w:rsidR="00AD2339" w:rsidRPr="00D55A5B" w:rsidRDefault="00AD2339" w:rsidP="000E48A3">
      <w:pPr>
        <w:pStyle w:val="Taxbodytext1"/>
      </w:pPr>
      <w:r>
        <w:rPr>
          <w:rFonts w:cs="Times New Roman"/>
        </w:rPr>
        <w:t>Engagement with external stakeholders is ongoing with further decisions on next steps expected by Autumn.</w:t>
      </w:r>
    </w:p>
    <w:p w14:paraId="68949740" w14:textId="77777777" w:rsidR="0029497D" w:rsidRPr="000E48A3" w:rsidRDefault="0029497D" w:rsidP="0029497D">
      <w:pPr>
        <w:pStyle w:val="Heading4"/>
        <w:spacing w:before="0" w:after="160" w:line="240" w:lineRule="auto"/>
        <w:rPr>
          <w:rFonts w:ascii="Times New Roman" w:hAnsi="Times New Roman" w:cs="Times New Roman"/>
          <w:sz w:val="28"/>
          <w:szCs w:val="28"/>
        </w:rPr>
      </w:pPr>
      <w:r w:rsidRPr="000E48A3">
        <w:rPr>
          <w:rFonts w:ascii="Times New Roman" w:hAnsi="Times New Roman" w:cs="Times New Roman"/>
          <w:sz w:val="28"/>
          <w:szCs w:val="28"/>
        </w:rPr>
        <w:t>Upper Tribunal Tax and Chancery Chamber Update</w:t>
      </w:r>
    </w:p>
    <w:p w14:paraId="277B66FD" w14:textId="2DD86B3C" w:rsidR="0029497D" w:rsidRPr="000A2BC6" w:rsidRDefault="00B4793D" w:rsidP="0029497D">
      <w:pPr>
        <w:pStyle w:val="Taxbodytext1"/>
        <w:rPr>
          <w:rFonts w:cs="Times New Roman"/>
        </w:rPr>
      </w:pPr>
      <w:r>
        <w:rPr>
          <w:rFonts w:cs="Times New Roman"/>
        </w:rPr>
        <w:t>Mr</w:t>
      </w:r>
      <w:r w:rsidR="00D2722A">
        <w:rPr>
          <w:rFonts w:cs="Times New Roman"/>
        </w:rPr>
        <w:t xml:space="preserve"> </w:t>
      </w:r>
      <w:r w:rsidR="00A100A6" w:rsidRPr="000A2BC6">
        <w:rPr>
          <w:rFonts w:cs="Times New Roman"/>
        </w:rPr>
        <w:t>Justice Thompsell</w:t>
      </w:r>
      <w:r w:rsidR="0029497D" w:rsidRPr="000A2BC6">
        <w:rPr>
          <w:rFonts w:cs="Times New Roman"/>
        </w:rPr>
        <w:t xml:space="preserve"> provided an update on the workload of the Upper Tribunal Tax and Chancery Chamber</w:t>
      </w:r>
      <w:r w:rsidR="00A100A6" w:rsidRPr="000A2BC6">
        <w:rPr>
          <w:rFonts w:cs="Times New Roman"/>
        </w:rPr>
        <w:t xml:space="preserve"> and thanked </w:t>
      </w:r>
      <w:r w:rsidR="000A2BC6" w:rsidRPr="000A2BC6">
        <w:rPr>
          <w:rFonts w:cs="Times New Roman"/>
        </w:rPr>
        <w:t xml:space="preserve">Mrs Justice Bacon and </w:t>
      </w:r>
      <w:r w:rsidR="00D2722A">
        <w:rPr>
          <w:rFonts w:cs="Times New Roman"/>
        </w:rPr>
        <w:t xml:space="preserve">Upper Tribunal </w:t>
      </w:r>
      <w:r w:rsidR="000A2BC6" w:rsidRPr="000A2BC6">
        <w:rPr>
          <w:rFonts w:cs="Times New Roman"/>
        </w:rPr>
        <w:t xml:space="preserve">Judge </w:t>
      </w:r>
      <w:r w:rsidR="005C692B">
        <w:rPr>
          <w:rFonts w:cs="Times New Roman"/>
        </w:rPr>
        <w:t xml:space="preserve">Tom </w:t>
      </w:r>
      <w:r w:rsidR="000A2BC6" w:rsidRPr="000A2BC6">
        <w:rPr>
          <w:rFonts w:cs="Times New Roman"/>
        </w:rPr>
        <w:t xml:space="preserve">Scott as predecessor and interim Chamber President, respectively. </w:t>
      </w:r>
    </w:p>
    <w:p w14:paraId="2D9102A4" w14:textId="4FA69D6B" w:rsidR="000A2BC6" w:rsidRDefault="000A2BC6" w:rsidP="0029497D">
      <w:pPr>
        <w:pStyle w:val="Taxbodytext1"/>
        <w:rPr>
          <w:rFonts w:cs="Times New Roman"/>
        </w:rPr>
      </w:pPr>
      <w:r w:rsidRPr="000A2BC6">
        <w:rPr>
          <w:rFonts w:cs="Times New Roman"/>
        </w:rPr>
        <w:t xml:space="preserve">There has been one retirement since the previous meeting, Upper Tribunal Judge Herrington. </w:t>
      </w:r>
      <w:r w:rsidR="0029497D" w:rsidRPr="000A2BC6">
        <w:rPr>
          <w:rFonts w:cs="Times New Roman"/>
        </w:rPr>
        <w:t xml:space="preserve"> </w:t>
      </w:r>
      <w:r w:rsidR="00D75102">
        <w:rPr>
          <w:rFonts w:cs="Times New Roman"/>
        </w:rPr>
        <w:t xml:space="preserve">A recruitment competition for fee-paid judges in the Upper Tribunal </w:t>
      </w:r>
      <w:r w:rsidR="00A05CC3">
        <w:rPr>
          <w:rFonts w:cs="Times New Roman"/>
        </w:rPr>
        <w:t>is scheduled to launch in July, with vacancies for three Deputy Upper Tribunal Judges specialising in Tax and two specialising in Financial Services.</w:t>
      </w:r>
      <w:r w:rsidR="007E4428">
        <w:rPr>
          <w:rFonts w:cs="Times New Roman"/>
        </w:rPr>
        <w:t xml:space="preserve"> </w:t>
      </w:r>
    </w:p>
    <w:p w14:paraId="6F5C3AB9" w14:textId="55F5F7BE" w:rsidR="007E4428" w:rsidRDefault="007E4428" w:rsidP="0029497D">
      <w:pPr>
        <w:pStyle w:val="Taxbodytext1"/>
        <w:rPr>
          <w:rFonts w:cs="Times New Roman"/>
        </w:rPr>
      </w:pPr>
      <w:r>
        <w:rPr>
          <w:rFonts w:cs="Times New Roman"/>
        </w:rPr>
        <w:t xml:space="preserve">The Upper Tribunal is largely </w:t>
      </w:r>
      <w:proofErr w:type="gramStart"/>
      <w:r>
        <w:rPr>
          <w:rFonts w:cs="Times New Roman"/>
        </w:rPr>
        <w:t>up-to-date</w:t>
      </w:r>
      <w:proofErr w:type="gramEnd"/>
      <w:r>
        <w:rPr>
          <w:rFonts w:cs="Times New Roman"/>
        </w:rPr>
        <w:t xml:space="preserve"> with issuing decisions after a hearing and processing permissions to appeal, with only occasional minor delays.</w:t>
      </w:r>
      <w:r w:rsidR="001F2D5D">
        <w:rPr>
          <w:rFonts w:cs="Times New Roman"/>
        </w:rPr>
        <w:t xml:space="preserve"> The aim continues to be to issue decisions within three months of the hearing and parties have been kept informed in the few instances where this has not been met.</w:t>
      </w:r>
    </w:p>
    <w:p w14:paraId="36D4AC09" w14:textId="15D875DF" w:rsidR="0037408F" w:rsidRDefault="0037408F" w:rsidP="0029497D">
      <w:pPr>
        <w:pStyle w:val="Taxbodytext1"/>
        <w:rPr>
          <w:rFonts w:cs="Times New Roman"/>
        </w:rPr>
      </w:pPr>
      <w:r>
        <w:rPr>
          <w:rFonts w:cs="Times New Roman"/>
        </w:rPr>
        <w:t xml:space="preserve">Administrative staff have received additional training and guidance on the electronic transmission of documents relating to applications for judicial review transferred to the Upper Tribunal from the Administrative Court, which has improved </w:t>
      </w:r>
      <w:r w:rsidR="00833ED1">
        <w:rPr>
          <w:rFonts w:cs="Times New Roman"/>
        </w:rPr>
        <w:t>the efficiency of the process.</w:t>
      </w:r>
    </w:p>
    <w:p w14:paraId="2E615F5F" w14:textId="7006506B" w:rsidR="0029497D" w:rsidRDefault="00833ED1" w:rsidP="0043068A">
      <w:pPr>
        <w:pStyle w:val="Taxbodytext1"/>
        <w:rPr>
          <w:rFonts w:cs="Times New Roman"/>
        </w:rPr>
      </w:pPr>
      <w:r>
        <w:rPr>
          <w:rFonts w:cs="Times New Roman"/>
        </w:rPr>
        <w:lastRenderedPageBreak/>
        <w:t xml:space="preserve">Tribunal users were reminded to raise </w:t>
      </w:r>
      <w:r w:rsidR="00313523">
        <w:rPr>
          <w:rFonts w:cs="Times New Roman"/>
        </w:rPr>
        <w:t>any issues either through the User</w:t>
      </w:r>
      <w:r w:rsidR="00137B61">
        <w:rPr>
          <w:rFonts w:cs="Times New Roman"/>
        </w:rPr>
        <w:t>s</w:t>
      </w:r>
      <w:r w:rsidR="00313523">
        <w:rPr>
          <w:rFonts w:cs="Times New Roman"/>
        </w:rPr>
        <w:t xml:space="preserve"> Group or directly with the administrative team (</w:t>
      </w:r>
      <w:hyperlink r:id="rId12" w:history="1">
        <w:r w:rsidR="00313523" w:rsidRPr="00A37FBC">
          <w:rPr>
            <w:rStyle w:val="Hyperlink"/>
            <w:rFonts w:cs="Times New Roman"/>
          </w:rPr>
          <w:t>uttc@justice.gov.uk</w:t>
        </w:r>
      </w:hyperlink>
      <w:r w:rsidR="00313523">
        <w:rPr>
          <w:rFonts w:cs="Times New Roman"/>
        </w:rPr>
        <w:t xml:space="preserve">) or Private </w:t>
      </w:r>
      <w:r w:rsidR="00811AFF">
        <w:rPr>
          <w:rFonts w:cs="Times New Roman"/>
        </w:rPr>
        <w:t>Office</w:t>
      </w:r>
      <w:r w:rsidR="00222EBF">
        <w:t xml:space="preserve"> </w:t>
      </w:r>
      <w:hyperlink r:id="rId13" w:history="1">
        <w:r w:rsidR="00811AFF" w:rsidRPr="001E5FB4">
          <w:rPr>
            <w:rStyle w:val="Hyperlink"/>
          </w:rPr>
          <w:t>UTTCCpresidentsoffice@judiciary.uk</w:t>
        </w:r>
      </w:hyperlink>
      <w:r w:rsidR="00313523">
        <w:rPr>
          <w:rFonts w:cs="Times New Roman"/>
        </w:rPr>
        <w:t>).</w:t>
      </w:r>
      <w:r w:rsidR="00811AFF">
        <w:rPr>
          <w:rFonts w:cs="Times New Roman"/>
        </w:rPr>
        <w:t xml:space="preserve"> </w:t>
      </w:r>
    </w:p>
    <w:p w14:paraId="150DAEAA" w14:textId="64199943" w:rsidR="0043068A" w:rsidRPr="000E48A3" w:rsidRDefault="0043068A" w:rsidP="0043068A">
      <w:pPr>
        <w:pStyle w:val="Heading4"/>
        <w:spacing w:before="0" w:after="160" w:line="240" w:lineRule="auto"/>
        <w:rPr>
          <w:rFonts w:ascii="Times New Roman" w:hAnsi="Times New Roman" w:cs="Times New Roman"/>
          <w:sz w:val="28"/>
          <w:szCs w:val="28"/>
        </w:rPr>
      </w:pPr>
      <w:r>
        <w:rPr>
          <w:rFonts w:ascii="Times New Roman" w:hAnsi="Times New Roman" w:cs="Times New Roman"/>
          <w:sz w:val="28"/>
          <w:szCs w:val="28"/>
        </w:rPr>
        <w:t>Loss of Costs Protection for Appellants in the Upper Tribunal</w:t>
      </w:r>
    </w:p>
    <w:p w14:paraId="667599C2" w14:textId="5CE7DBB5" w:rsidR="0043068A" w:rsidRPr="00F245BF" w:rsidRDefault="00222EBF" w:rsidP="00F245BF">
      <w:pPr>
        <w:pStyle w:val="Taxbodytext1"/>
        <w:rPr>
          <w:rFonts w:cs="Times New Roman"/>
        </w:rPr>
      </w:pPr>
      <w:r>
        <w:rPr>
          <w:rFonts w:cs="Times New Roman"/>
        </w:rPr>
        <w:t xml:space="preserve">Mr </w:t>
      </w:r>
      <w:r w:rsidR="0043068A" w:rsidRPr="000A2BC6">
        <w:rPr>
          <w:rFonts w:cs="Times New Roman"/>
        </w:rPr>
        <w:t>Justice Thompsell</w:t>
      </w:r>
      <w:r w:rsidR="00610F56">
        <w:rPr>
          <w:rFonts w:cs="Times New Roman"/>
        </w:rPr>
        <w:t xml:space="preserve"> shared a</w:t>
      </w:r>
      <w:r w:rsidR="00FE04A8">
        <w:rPr>
          <w:rFonts w:cs="Times New Roman"/>
        </w:rPr>
        <w:t xml:space="preserve"> draft discussion</w:t>
      </w:r>
      <w:r w:rsidR="00610F56">
        <w:rPr>
          <w:rFonts w:cs="Times New Roman"/>
        </w:rPr>
        <w:t xml:space="preserve"> paper </w:t>
      </w:r>
      <w:r w:rsidR="00FE04A8">
        <w:rPr>
          <w:rFonts w:cs="Times New Roman"/>
        </w:rPr>
        <w:t>with the meeting agenda</w:t>
      </w:r>
      <w:r w:rsidR="00602AE0">
        <w:rPr>
          <w:rFonts w:cs="Times New Roman"/>
        </w:rPr>
        <w:t>, outlining an issue regarding the incidence of costs in Upper Tribunal tax appeals. While taxpayers will generally have costs protection in the First-tier Tax Tribunal, the protection does not typically apply in the Upper Tribunal. The</w:t>
      </w:r>
      <w:r w:rsidR="00CE47FA">
        <w:rPr>
          <w:rFonts w:cs="Times New Roman"/>
        </w:rPr>
        <w:t xml:space="preserve"> potential for significant costs exposure may influence how cases are pursued, with implications for access to justice and the development of legal precedent.</w:t>
      </w:r>
      <w:r w:rsidR="00FA3D92">
        <w:rPr>
          <w:rFonts w:cs="Times New Roman"/>
        </w:rPr>
        <w:t xml:space="preserve"> Attendees raised points regarding possible arbitrariness of current proposals that would not extend to cases where taxpayers are the appellant (as opposed to HMRC) and so still face a cost risk, although noting not all taxpayers are ‘unwilling’ appellants. Protective costs orders have previously been granted in cases with significant legal issues to assess. </w:t>
      </w:r>
      <w:r w:rsidR="00C87767">
        <w:rPr>
          <w:rFonts w:cs="Times New Roman"/>
        </w:rPr>
        <w:t>TTUG</w:t>
      </w:r>
      <w:r w:rsidR="00811AFF">
        <w:rPr>
          <w:rFonts w:cs="Times New Roman"/>
        </w:rPr>
        <w:t xml:space="preserve"> </w:t>
      </w:r>
      <w:r w:rsidR="00CE47FA">
        <w:rPr>
          <w:rFonts w:cs="Times New Roman"/>
        </w:rPr>
        <w:t>were invited to follow up with the Upper Tribunal Private Office</w:t>
      </w:r>
      <w:r w:rsidR="00662101">
        <w:rPr>
          <w:rFonts w:cs="Times New Roman"/>
        </w:rPr>
        <w:t xml:space="preserve"> with comments on the p</w:t>
      </w:r>
      <w:r w:rsidR="00FA3D92">
        <w:rPr>
          <w:rFonts w:cs="Times New Roman"/>
        </w:rPr>
        <w:t xml:space="preserve">aper and any further proposals such as rule changes or Practice Directions that will help to balance fairness and flexibility. </w:t>
      </w:r>
    </w:p>
    <w:p w14:paraId="08F369D6" w14:textId="3892C3CB" w:rsidR="0042372F" w:rsidRPr="000E48A3" w:rsidRDefault="0042372F" w:rsidP="0042372F">
      <w:pPr>
        <w:pStyle w:val="Heading4"/>
        <w:spacing w:before="0" w:after="160" w:line="240" w:lineRule="auto"/>
        <w:rPr>
          <w:rFonts w:ascii="Times New Roman" w:hAnsi="Times New Roman" w:cs="Times New Roman"/>
          <w:sz w:val="28"/>
          <w:szCs w:val="28"/>
        </w:rPr>
      </w:pPr>
      <w:r>
        <w:rPr>
          <w:rFonts w:ascii="Times New Roman" w:hAnsi="Times New Roman" w:cs="Times New Roman"/>
          <w:sz w:val="28"/>
          <w:szCs w:val="28"/>
        </w:rPr>
        <w:t>Diversity and Inclusion</w:t>
      </w:r>
    </w:p>
    <w:p w14:paraId="3F65B028" w14:textId="5185DB4A" w:rsidR="00F12AB1" w:rsidRPr="009F2291" w:rsidRDefault="00337215" w:rsidP="009F2291">
      <w:pPr>
        <w:pStyle w:val="Taxbodytext1"/>
        <w:rPr>
          <w:rFonts w:cs="Times New Roman"/>
        </w:rPr>
      </w:pPr>
      <w:r>
        <w:rPr>
          <w:rFonts w:cs="Times New Roman"/>
        </w:rPr>
        <w:t xml:space="preserve">Diversity and </w:t>
      </w:r>
      <w:r w:rsidR="00723D6B">
        <w:rPr>
          <w:rFonts w:cs="Times New Roman"/>
        </w:rPr>
        <w:t>I</w:t>
      </w:r>
      <w:r>
        <w:rPr>
          <w:rFonts w:cs="Times New Roman"/>
        </w:rPr>
        <w:t>nclusion leads, Upper Tribunal Judge Raghavan and Judge Sukul discussed initiatives arising from consultations with the Revenue Bar Association (RBA). These include</w:t>
      </w:r>
      <w:r w:rsidR="008430EB">
        <w:rPr>
          <w:rFonts w:cs="Times New Roman"/>
        </w:rPr>
        <w:t xml:space="preserve"> guidance on breastfeeding/ expressing during hearings, listing practices for longer hearings</w:t>
      </w:r>
      <w:r w:rsidR="00F245BF">
        <w:rPr>
          <w:rFonts w:cs="Times New Roman"/>
        </w:rPr>
        <w:t xml:space="preserve"> to</w:t>
      </w:r>
      <w:r w:rsidR="009F2291">
        <w:rPr>
          <w:rFonts w:cs="Times New Roman"/>
        </w:rPr>
        <w:t xml:space="preserve"> better accommodate advocates with caring responsibilities or disabilities,</w:t>
      </w:r>
      <w:r w:rsidR="008430EB">
        <w:rPr>
          <w:rFonts w:cs="Times New Roman"/>
        </w:rPr>
        <w:t xml:space="preserve"> and a desk card for face-to-face hearings. </w:t>
      </w:r>
      <w:r w:rsidR="0030779F" w:rsidRPr="009F2291">
        <w:rPr>
          <w:rFonts w:cs="Times New Roman"/>
        </w:rPr>
        <w:t>The breastfeeding/ expressing guidance aims to improve awareness of available reasonable adjustments and is close to being final</w:t>
      </w:r>
      <w:r w:rsidR="00F245BF" w:rsidRPr="009F2291">
        <w:rPr>
          <w:rFonts w:cs="Times New Roman"/>
        </w:rPr>
        <w:t>is</w:t>
      </w:r>
      <w:r w:rsidR="0030779F" w:rsidRPr="009F2291">
        <w:rPr>
          <w:rFonts w:cs="Times New Roman"/>
        </w:rPr>
        <w:t>ed.</w:t>
      </w:r>
      <w:r w:rsidR="009F2291">
        <w:rPr>
          <w:rFonts w:cs="Times New Roman"/>
        </w:rPr>
        <w:t xml:space="preserve"> </w:t>
      </w:r>
      <w:r w:rsidR="00FA3D92">
        <w:rPr>
          <w:rFonts w:cs="Times New Roman"/>
        </w:rPr>
        <w:t xml:space="preserve">Further discussion on listing practices is required, however, the importance of early notification requests such as split hearings, during the listing process was emphasised for facilitating appropriate accommodations. </w:t>
      </w:r>
      <w:r w:rsidR="00D74EF7" w:rsidRPr="009F2291">
        <w:rPr>
          <w:rFonts w:cs="Times New Roman"/>
        </w:rPr>
        <w:t>Outreach activity to widen participation in the judiciary was also highlighted with further collaboration encouraged</w:t>
      </w:r>
      <w:r w:rsidR="009F2291">
        <w:rPr>
          <w:rFonts w:cs="Times New Roman"/>
        </w:rPr>
        <w:t xml:space="preserve">, following a successful </w:t>
      </w:r>
      <w:r w:rsidR="004C74A0">
        <w:rPr>
          <w:rFonts w:cs="Times New Roman"/>
        </w:rPr>
        <w:t>specialist</w:t>
      </w:r>
      <w:r w:rsidR="009F2291">
        <w:rPr>
          <w:rFonts w:cs="Times New Roman"/>
        </w:rPr>
        <w:t xml:space="preserve"> tax moot earlier in the year at Inner Temple which was arranged by the R</w:t>
      </w:r>
      <w:r w:rsidR="004C74A0">
        <w:rPr>
          <w:rFonts w:cs="Times New Roman"/>
        </w:rPr>
        <w:t xml:space="preserve">evenue </w:t>
      </w:r>
      <w:r w:rsidR="009F2291">
        <w:rPr>
          <w:rFonts w:cs="Times New Roman"/>
        </w:rPr>
        <w:t>B</w:t>
      </w:r>
      <w:r w:rsidR="004C74A0">
        <w:rPr>
          <w:rFonts w:cs="Times New Roman"/>
        </w:rPr>
        <w:t xml:space="preserve">ar </w:t>
      </w:r>
      <w:r w:rsidR="009F2291">
        <w:rPr>
          <w:rFonts w:cs="Times New Roman"/>
        </w:rPr>
        <w:t>A</w:t>
      </w:r>
      <w:r w:rsidR="004C74A0">
        <w:rPr>
          <w:rFonts w:cs="Times New Roman"/>
        </w:rPr>
        <w:t>ssociation</w:t>
      </w:r>
      <w:r w:rsidR="009F2291">
        <w:rPr>
          <w:rFonts w:cs="Times New Roman"/>
        </w:rPr>
        <w:t xml:space="preserve"> and judged by volunteers from the First-tier Tribunal and Upper Tribunal</w:t>
      </w:r>
      <w:r w:rsidR="00D74EF7" w:rsidRPr="009F2291">
        <w:rPr>
          <w:rFonts w:cs="Times New Roman"/>
        </w:rPr>
        <w:t>.</w:t>
      </w:r>
    </w:p>
    <w:p w14:paraId="1D36FC99" w14:textId="4CEB5F1D" w:rsidR="00127581" w:rsidRPr="000E48A3" w:rsidRDefault="00103BE7" w:rsidP="00E23ADE">
      <w:pPr>
        <w:pStyle w:val="Heading4"/>
        <w:spacing w:before="0" w:after="160" w:line="240" w:lineRule="auto"/>
        <w:rPr>
          <w:rFonts w:ascii="Times New Roman" w:hAnsi="Times New Roman" w:cs="Times New Roman"/>
          <w:sz w:val="28"/>
          <w:szCs w:val="28"/>
        </w:rPr>
      </w:pPr>
      <w:r w:rsidRPr="000E48A3">
        <w:rPr>
          <w:rFonts w:ascii="Times New Roman" w:hAnsi="Times New Roman" w:cs="Times New Roman"/>
          <w:sz w:val="28"/>
          <w:szCs w:val="28"/>
        </w:rPr>
        <w:t>Questions Provided in Advance</w:t>
      </w:r>
    </w:p>
    <w:p w14:paraId="05D897A2" w14:textId="6DF4B249" w:rsidR="000E48A3" w:rsidRDefault="007B3D17" w:rsidP="00E23ADE">
      <w:pPr>
        <w:spacing w:line="240" w:lineRule="auto"/>
        <w:rPr>
          <w:rFonts w:ascii="Times New Roman" w:hAnsi="Times New Roman" w:cs="Times New Roman"/>
          <w:b/>
          <w:bCs/>
        </w:rPr>
      </w:pPr>
      <w:r>
        <w:rPr>
          <w:rFonts w:ascii="Times New Roman" w:hAnsi="Times New Roman" w:cs="Times New Roman"/>
          <w:b/>
          <w:bCs/>
        </w:rPr>
        <w:t>Documents as Evidence which are not included in Lists of Documents</w:t>
      </w:r>
      <w:r w:rsidR="00103BE7" w:rsidRPr="000E48A3">
        <w:rPr>
          <w:rFonts w:ascii="Times New Roman" w:hAnsi="Times New Roman" w:cs="Times New Roman"/>
          <w:b/>
          <w:bCs/>
        </w:rPr>
        <w:t>:</w:t>
      </w:r>
    </w:p>
    <w:p w14:paraId="1BF7EA3C" w14:textId="7941B1A9" w:rsidR="008A509F" w:rsidRDefault="007B3D17" w:rsidP="000E48A3">
      <w:pPr>
        <w:pStyle w:val="Taxbodytext1"/>
      </w:pPr>
      <w:r>
        <w:t>Judge Brown confirmed</w:t>
      </w:r>
      <w:r w:rsidR="008A509F">
        <w:t xml:space="preserve"> that standard directions now acknowledge that as witness statements are exchanged after the list of documents</w:t>
      </w:r>
      <w:r w:rsidR="004371FC">
        <w:t>, if there are new exhibits introduced, the other party has an opportunity to respond within 14 days of being provided with copies. If there is no objection then there is no need to apply to amend the list of documents.</w:t>
      </w:r>
    </w:p>
    <w:p w14:paraId="556D4E42" w14:textId="5B924C7D" w:rsidR="000E48A3" w:rsidRDefault="004371FC" w:rsidP="00E23ADE">
      <w:pPr>
        <w:spacing w:line="240" w:lineRule="auto"/>
        <w:rPr>
          <w:rFonts w:ascii="Times New Roman" w:hAnsi="Times New Roman" w:cs="Times New Roman"/>
          <w:b/>
          <w:bCs/>
        </w:rPr>
      </w:pPr>
      <w:r>
        <w:rPr>
          <w:rFonts w:ascii="Times New Roman" w:hAnsi="Times New Roman" w:cs="Times New Roman"/>
          <w:b/>
          <w:bCs/>
        </w:rPr>
        <w:t>Fee-paid Judicial Recruitment</w:t>
      </w:r>
      <w:r w:rsidR="00103BE7" w:rsidRPr="000E48A3">
        <w:rPr>
          <w:rFonts w:ascii="Times New Roman" w:hAnsi="Times New Roman" w:cs="Times New Roman"/>
          <w:b/>
          <w:bCs/>
        </w:rPr>
        <w:t>:</w:t>
      </w:r>
    </w:p>
    <w:p w14:paraId="4C77B19F" w14:textId="759178C3" w:rsidR="00127581" w:rsidRPr="000E48A3" w:rsidRDefault="004371FC" w:rsidP="000E48A3">
      <w:pPr>
        <w:pStyle w:val="Taxbodytext1"/>
      </w:pPr>
      <w:r>
        <w:t xml:space="preserve">There are no current plans to recruit fee-paid judges to the First-tier Tribunal. Recruitment to the Upper Tribunal </w:t>
      </w:r>
      <w:r w:rsidR="001A61FD">
        <w:t>was covered earlier in the meeting.</w:t>
      </w:r>
    </w:p>
    <w:p w14:paraId="1F12E88E" w14:textId="740E6F1B" w:rsidR="000E48A3" w:rsidRDefault="001A61FD" w:rsidP="00E23ADE">
      <w:pPr>
        <w:spacing w:line="240" w:lineRule="auto"/>
        <w:rPr>
          <w:rFonts w:ascii="Times New Roman" w:hAnsi="Times New Roman" w:cs="Times New Roman"/>
          <w:b/>
          <w:bCs/>
        </w:rPr>
      </w:pPr>
      <w:r>
        <w:rPr>
          <w:rFonts w:ascii="Times New Roman" w:hAnsi="Times New Roman" w:cs="Times New Roman"/>
          <w:b/>
          <w:bCs/>
        </w:rPr>
        <w:t>Policy of Allocating Judges to Cases</w:t>
      </w:r>
      <w:r w:rsidR="00103BE7" w:rsidRPr="000E48A3">
        <w:rPr>
          <w:rFonts w:ascii="Times New Roman" w:hAnsi="Times New Roman" w:cs="Times New Roman"/>
          <w:b/>
          <w:bCs/>
        </w:rPr>
        <w:t>:</w:t>
      </w:r>
    </w:p>
    <w:p w14:paraId="0C71F454" w14:textId="48E4882E" w:rsidR="001A61FD" w:rsidRDefault="00EF7B69" w:rsidP="000E48A3">
      <w:pPr>
        <w:pStyle w:val="Taxbodytext1"/>
      </w:pPr>
      <w:r>
        <w:t>Judge Brown and</w:t>
      </w:r>
      <w:r w:rsidR="004E0535">
        <w:t xml:space="preserve"> Mr</w:t>
      </w:r>
      <w:r>
        <w:t xml:space="preserve"> Justice Thompsell confirmed that neither the </w:t>
      </w:r>
      <w:proofErr w:type="gramStart"/>
      <w:r>
        <w:t>First-tier</w:t>
      </w:r>
      <w:proofErr w:type="gramEnd"/>
      <w:r>
        <w:t xml:space="preserve"> nor Upper Tribunal will publish the policy for allocating judges to cases. </w:t>
      </w:r>
      <w:r w:rsidR="00450806">
        <w:t xml:space="preserve">Each </w:t>
      </w:r>
      <w:r w:rsidR="002940B5">
        <w:t>Chamber President</w:t>
      </w:r>
      <w:r w:rsidR="00450806">
        <w:t xml:space="preserve"> outlined the process in their respective Chamber. In</w:t>
      </w:r>
      <w:r w:rsidR="00926F3F">
        <w:t xml:space="preserve"> the First-tier Tribunal, </w:t>
      </w:r>
      <w:r w:rsidR="00611448">
        <w:t>cases are offered to salaried judges first. If the case is not taken within 48 hours</w:t>
      </w:r>
      <w:r w:rsidR="0086781F">
        <w:t>, it will be allocated on a one-to-one referral basis to fee-paid j</w:t>
      </w:r>
      <w:r w:rsidR="00450806">
        <w:t>udge</w:t>
      </w:r>
      <w:r w:rsidR="0086781F">
        <w:t>s.</w:t>
      </w:r>
      <w:r w:rsidR="00CD0B72">
        <w:t xml:space="preserve"> HMCTS ensure these referrals are offered fairly, in the </w:t>
      </w:r>
      <w:r w:rsidR="00CD0B72">
        <w:lastRenderedPageBreak/>
        <w:t>sense that they are offered with the objective of facilitating each fee-paid judge to meet their minimum sitting expectation of 15 days per year.</w:t>
      </w:r>
    </w:p>
    <w:p w14:paraId="038AD08F" w14:textId="3327CA5C" w:rsidR="00CD0B72" w:rsidRDefault="00CD0B72" w:rsidP="000E48A3">
      <w:pPr>
        <w:pStyle w:val="Taxbodytext1"/>
      </w:pPr>
      <w:r>
        <w:t>The list of members in the First-tier Tribunal has also been updated so that that the specialism of each member has been identified</w:t>
      </w:r>
      <w:r w:rsidR="003C46F6">
        <w:t xml:space="preserve">, </w:t>
      </w:r>
      <w:r w:rsidR="003C46F6" w:rsidRPr="004C74A0">
        <w:t>by reference to: accountancy, employment, land, financial services.</w:t>
      </w:r>
      <w:r w:rsidR="00232BCE">
        <w:t xml:space="preserve"> This was with a view to appoint members to panels who will be in the best position to assist and work with the judge</w:t>
      </w:r>
      <w:r w:rsidR="00A61CDD">
        <w:t>.</w:t>
      </w:r>
    </w:p>
    <w:p w14:paraId="26CEBE9A" w14:textId="633C4E5B" w:rsidR="00A61CDD" w:rsidRPr="001A61FD" w:rsidRDefault="00CF3273" w:rsidP="000E48A3">
      <w:pPr>
        <w:pStyle w:val="Taxbodytext1"/>
      </w:pPr>
      <w:r>
        <w:t>The</w:t>
      </w:r>
      <w:r w:rsidR="00A61CDD">
        <w:t xml:space="preserve"> Upper Tribunal</w:t>
      </w:r>
      <w:r>
        <w:t xml:space="preserve"> </w:t>
      </w:r>
      <w:r w:rsidR="00A61CDD">
        <w:t>(excluding permission to appeal, case management and financial services</w:t>
      </w:r>
      <w:r>
        <w:t xml:space="preserve"> cases) wi</w:t>
      </w:r>
      <w:r w:rsidR="00F52E40">
        <w:t>ll get an estimate from parties as to the length of the hearing and reading time. A judge will then decide whether the case should be heard by two Upper Tribunal judges or an Upper Tribunal judge together with a High Court judge. The case is then allocated.</w:t>
      </w:r>
      <w:r w:rsidR="009D23FE">
        <w:t xml:space="preserve"> </w:t>
      </w:r>
      <w:r w:rsidR="009A68FF">
        <w:t>Mr Justice</w:t>
      </w:r>
      <w:r w:rsidR="009D23FE">
        <w:t xml:space="preserve"> Thompsell also confirmed that there is no practice that if the case is heard by a salaried judge in the </w:t>
      </w:r>
      <w:proofErr w:type="gramStart"/>
      <w:r w:rsidR="009D23FE">
        <w:t>First-tier</w:t>
      </w:r>
      <w:proofErr w:type="gramEnd"/>
      <w:r w:rsidR="009D23FE">
        <w:t>, that the Upper Tribunal panel will then necessarily include a High Court Judge.</w:t>
      </w:r>
    </w:p>
    <w:p w14:paraId="1438D246" w14:textId="5F7FF690" w:rsidR="000E48A3" w:rsidRDefault="00D55685" w:rsidP="00E23ADE">
      <w:pPr>
        <w:spacing w:line="240" w:lineRule="auto"/>
        <w:rPr>
          <w:rFonts w:ascii="Times New Roman" w:hAnsi="Times New Roman" w:cs="Times New Roman"/>
          <w:b/>
          <w:bCs/>
        </w:rPr>
      </w:pPr>
      <w:r>
        <w:rPr>
          <w:rFonts w:ascii="Times New Roman" w:hAnsi="Times New Roman" w:cs="Times New Roman"/>
          <w:b/>
          <w:bCs/>
        </w:rPr>
        <w:t>AI Tools for Litigants</w:t>
      </w:r>
      <w:r w:rsidR="00103BE7" w:rsidRPr="000E48A3">
        <w:rPr>
          <w:rFonts w:ascii="Times New Roman" w:hAnsi="Times New Roman" w:cs="Times New Roman"/>
          <w:b/>
          <w:bCs/>
        </w:rPr>
        <w:t>:</w:t>
      </w:r>
    </w:p>
    <w:p w14:paraId="5247B0DC" w14:textId="65C12DBB" w:rsidR="005D48FF" w:rsidRDefault="00790FC7" w:rsidP="001436F6">
      <w:pPr>
        <w:pStyle w:val="Taxbodytext1"/>
      </w:pPr>
      <w:r>
        <w:t xml:space="preserve">A question had been raised as to whether </w:t>
      </w:r>
      <w:r w:rsidR="004F6A9B">
        <w:t>guidance will be published for litigants, particularly litigants in person, about using AI tools to prepare their case. Judge Brown noted tha</w:t>
      </w:r>
      <w:r w:rsidR="00014F04">
        <w:t>t the Tax Tribunal does not currently issue directions that require parties to identify if they have used AI in the preparation of their case</w:t>
      </w:r>
      <w:r w:rsidR="00EC7047">
        <w:t xml:space="preserve"> and there are no</w:t>
      </w:r>
      <w:r w:rsidR="008429B0">
        <w:t xml:space="preserve"> plans to do so.</w:t>
      </w:r>
      <w:r w:rsidR="00014F04">
        <w:t xml:space="preserve"> </w:t>
      </w:r>
    </w:p>
    <w:p w14:paraId="0431B189" w14:textId="71BB8FFF" w:rsidR="001436F6" w:rsidRPr="001436F6" w:rsidRDefault="00014F04" w:rsidP="001436F6">
      <w:pPr>
        <w:pStyle w:val="Taxbodytext1"/>
      </w:pPr>
      <w:r>
        <w:t>Guidance for judicial office holders is published on judiciary.uk (</w:t>
      </w:r>
      <w:hyperlink r:id="rId14" w:history="1">
        <w:r w:rsidR="005D48FF" w:rsidRPr="00A37FBC">
          <w:rPr>
            <w:rStyle w:val="Hyperlink"/>
          </w:rPr>
          <w:t>https://www.judiciary.uk/wp-content/uploads/2025/10/Artificial-Intelligence-AI-Guidance-for-Judicial-Office-Holders-2.pdf</w:t>
        </w:r>
      </w:hyperlink>
      <w:r w:rsidR="0002099B">
        <w:t>)</w:t>
      </w:r>
      <w:r w:rsidR="005D48FF">
        <w:t xml:space="preserve">. The Civil Justice Council has also set up a working group to examine the use of AI by legal representatives for preparing court documents. A consultation closed on 14 April (accessible at: </w:t>
      </w:r>
      <w:hyperlink r:id="rId15" w:history="1">
        <w:r w:rsidR="009118D1" w:rsidRPr="00A37FBC">
          <w:rPr>
            <w:rStyle w:val="Hyperlink"/>
          </w:rPr>
          <w:t>https://www.judiciary.uk/wp-content/uploads/2026/03/Interim-Report-and-Consultation-Use-of-AI-for-Preparing-Court-Docume.pdf</w:t>
        </w:r>
      </w:hyperlink>
      <w:r w:rsidR="009118D1">
        <w:t xml:space="preserve">). </w:t>
      </w:r>
    </w:p>
    <w:p w14:paraId="653895DF" w14:textId="181FC203" w:rsidR="000E48A3" w:rsidRDefault="008429B0" w:rsidP="00E23ADE">
      <w:pPr>
        <w:pStyle w:val="Taxbodytext1"/>
        <w:numPr>
          <w:ilvl w:val="0"/>
          <w:numId w:val="0"/>
        </w:numPr>
        <w:spacing w:after="160"/>
        <w:jc w:val="left"/>
        <w:rPr>
          <w:rFonts w:cs="Times New Roman"/>
          <w:b/>
          <w:bCs/>
        </w:rPr>
      </w:pPr>
      <w:r>
        <w:rPr>
          <w:rFonts w:cs="Times New Roman"/>
          <w:b/>
          <w:bCs/>
        </w:rPr>
        <w:t>T239 Change of Representative</w:t>
      </w:r>
      <w:r w:rsidR="00103BE7" w:rsidRPr="000E48A3">
        <w:rPr>
          <w:rFonts w:cs="Times New Roman"/>
          <w:b/>
          <w:bCs/>
        </w:rPr>
        <w:t>:</w:t>
      </w:r>
    </w:p>
    <w:p w14:paraId="64864C21" w14:textId="77777777" w:rsidR="00990502" w:rsidRPr="00BB2C8D" w:rsidRDefault="00990502" w:rsidP="00990502">
      <w:pPr>
        <w:pStyle w:val="Taxbodytext1"/>
      </w:pPr>
      <w:r w:rsidRPr="00BB2C8D">
        <w:t>The Tribunal requires a T239 form to be submitted when there is a change in the representation of a party. A law firm writing to HMCTS without signed authority from the taxpayer or the previous representative cannot be accepted as sufficient evidence of this. It is important that HMCTS have accurate contact records for correspondence in relation to the matter. The T239 is the most effective way for the Tribunal to ensure that the taxpayer has authorised the change of representative. A T239 is not required for a new appeal</w:t>
      </w:r>
      <w:r>
        <w:t xml:space="preserve"> signed by a lawyer</w:t>
      </w:r>
      <w:r w:rsidRPr="00BB2C8D">
        <w:t xml:space="preserve"> as this is not a change in representation in an already live matter. </w:t>
      </w:r>
    </w:p>
    <w:p w14:paraId="0A94C2B6" w14:textId="7D167525" w:rsidR="000C6A7A" w:rsidRPr="000C6A7A" w:rsidRDefault="000C6A7A" w:rsidP="000C6A7A">
      <w:pPr>
        <w:pStyle w:val="Taxbodytext1"/>
        <w:numPr>
          <w:ilvl w:val="0"/>
          <w:numId w:val="0"/>
        </w:numPr>
        <w:rPr>
          <w:rFonts w:cs="Times New Roman"/>
          <w:b/>
          <w:bCs/>
        </w:rPr>
      </w:pPr>
      <w:r w:rsidRPr="000C6A7A">
        <w:rPr>
          <w:rFonts w:cs="Times New Roman"/>
          <w:b/>
          <w:bCs/>
        </w:rPr>
        <w:t>HMRC Hardsh</w:t>
      </w:r>
      <w:r>
        <w:rPr>
          <w:rFonts w:cs="Times New Roman"/>
          <w:b/>
          <w:bCs/>
        </w:rPr>
        <w:t>i</w:t>
      </w:r>
      <w:r w:rsidRPr="000C6A7A">
        <w:rPr>
          <w:rFonts w:cs="Times New Roman"/>
          <w:b/>
          <w:bCs/>
        </w:rPr>
        <w:t>p</w:t>
      </w:r>
      <w:r>
        <w:rPr>
          <w:rFonts w:cs="Times New Roman"/>
          <w:b/>
          <w:bCs/>
        </w:rPr>
        <w:t xml:space="preserve"> Applications</w:t>
      </w:r>
      <w:r w:rsidRPr="000C6A7A">
        <w:rPr>
          <w:rFonts w:cs="Times New Roman"/>
          <w:b/>
          <w:bCs/>
        </w:rPr>
        <w:t>:</w:t>
      </w:r>
    </w:p>
    <w:p w14:paraId="07FE761B" w14:textId="50FE3980" w:rsidR="000C6A7A" w:rsidRPr="008429B0" w:rsidRDefault="000C6A7A" w:rsidP="000C6A7A">
      <w:pPr>
        <w:pStyle w:val="Taxbodytext1"/>
        <w:rPr>
          <w:rFonts w:cs="Times New Roman"/>
          <w:b/>
          <w:bCs/>
        </w:rPr>
      </w:pPr>
      <w:r>
        <w:rPr>
          <w:rFonts w:cs="Times New Roman"/>
        </w:rPr>
        <w:t>Ann Smith (HMRC)</w:t>
      </w:r>
      <w:r w:rsidR="001C258B">
        <w:rPr>
          <w:rFonts w:cs="Times New Roman"/>
        </w:rPr>
        <w:t xml:space="preserve"> outlined that the established position is for an appeal and hardship application to be submitted at the same time.</w:t>
      </w:r>
      <w:r w:rsidR="00EA5330">
        <w:rPr>
          <w:rFonts w:cs="Times New Roman"/>
        </w:rPr>
        <w:t xml:space="preserve"> In the rare occasion a hardship application is submitted in advance of a notice of appeal, </w:t>
      </w:r>
      <w:r w:rsidR="001F67C0">
        <w:rPr>
          <w:rFonts w:cs="Times New Roman"/>
        </w:rPr>
        <w:t>the team should acknowledge that they need the notice of appeal for the hardship application to be considered.</w:t>
      </w:r>
    </w:p>
    <w:p w14:paraId="3CB68EC7" w14:textId="72F385CD" w:rsidR="00267386" w:rsidRDefault="00267386" w:rsidP="00267386">
      <w:pPr>
        <w:pStyle w:val="Taxbodytext1"/>
        <w:numPr>
          <w:ilvl w:val="0"/>
          <w:numId w:val="0"/>
        </w:numPr>
        <w:spacing w:after="160"/>
        <w:jc w:val="left"/>
        <w:rPr>
          <w:rFonts w:cs="Times New Roman"/>
          <w:b/>
          <w:bCs/>
        </w:rPr>
      </w:pPr>
      <w:r>
        <w:rPr>
          <w:rFonts w:cs="Times New Roman"/>
          <w:b/>
          <w:bCs/>
        </w:rPr>
        <w:t>Register of Cases</w:t>
      </w:r>
      <w:r w:rsidRPr="000E48A3">
        <w:rPr>
          <w:rFonts w:cs="Times New Roman"/>
          <w:b/>
          <w:bCs/>
        </w:rPr>
        <w:t>:</w:t>
      </w:r>
    </w:p>
    <w:p w14:paraId="429031CC" w14:textId="58F40717" w:rsidR="00267386" w:rsidRPr="008429B0" w:rsidRDefault="00D655DB" w:rsidP="00267386">
      <w:pPr>
        <w:pStyle w:val="Taxbodytext1"/>
        <w:rPr>
          <w:rFonts w:cs="Times New Roman"/>
          <w:b/>
          <w:bCs/>
        </w:rPr>
      </w:pPr>
      <w:r>
        <w:rPr>
          <w:rFonts w:cs="Times New Roman"/>
        </w:rPr>
        <w:t xml:space="preserve">Mr </w:t>
      </w:r>
      <w:r w:rsidR="00267386">
        <w:rPr>
          <w:rFonts w:cs="Times New Roman"/>
        </w:rPr>
        <w:t xml:space="preserve">Justice Thompsell </w:t>
      </w:r>
      <w:r w:rsidR="002F284F">
        <w:rPr>
          <w:rFonts w:cs="Times New Roman"/>
        </w:rPr>
        <w:t xml:space="preserve">responded to a question regarding potential updates to the Upper Tribunal Tax and Chancery Chamber Register of Interests. </w:t>
      </w:r>
      <w:r w:rsidR="00337215">
        <w:rPr>
          <w:rFonts w:cs="Times New Roman"/>
        </w:rPr>
        <w:t xml:space="preserve">The Register helps to identify related appeals for efficient case management. </w:t>
      </w:r>
      <w:r w:rsidR="002F284F">
        <w:rPr>
          <w:rFonts w:cs="Times New Roman"/>
        </w:rPr>
        <w:t xml:space="preserve">Whilst the Register </w:t>
      </w:r>
      <w:r w:rsidR="00850B15">
        <w:rPr>
          <w:rFonts w:cs="Times New Roman"/>
        </w:rPr>
        <w:t>is a useful resource for identifying related cases and to draw the Tribunal’s attention to the potential for case management of linked appeals, it is maintained by an administrative team</w:t>
      </w:r>
      <w:r w:rsidR="00E56868">
        <w:rPr>
          <w:rFonts w:cs="Times New Roman"/>
        </w:rPr>
        <w:t xml:space="preserve"> so any changes need to be considered within their existing responsibilities</w:t>
      </w:r>
      <w:r w:rsidR="00850B15">
        <w:rPr>
          <w:rFonts w:cs="Times New Roman"/>
        </w:rPr>
        <w:t xml:space="preserve">. There are no current plans for making </w:t>
      </w:r>
      <w:r w:rsidR="00850B15">
        <w:rPr>
          <w:rFonts w:cs="Times New Roman"/>
        </w:rPr>
        <w:lastRenderedPageBreak/>
        <w:t>any changes to the Register</w:t>
      </w:r>
      <w:r w:rsidR="001C03F1">
        <w:rPr>
          <w:rFonts w:cs="Times New Roman"/>
        </w:rPr>
        <w:t xml:space="preserve"> although views were welcomed on what</w:t>
      </w:r>
      <w:r w:rsidR="006B56D6">
        <w:rPr>
          <w:rFonts w:cs="Times New Roman"/>
        </w:rPr>
        <w:t xml:space="preserve"> should be included in the Register.</w:t>
      </w:r>
    </w:p>
    <w:p w14:paraId="4130730A" w14:textId="45EE4171" w:rsidR="00E315E6" w:rsidRDefault="00537670" w:rsidP="00E315E6">
      <w:pPr>
        <w:pStyle w:val="Taxbodytext1"/>
        <w:numPr>
          <w:ilvl w:val="0"/>
          <w:numId w:val="0"/>
        </w:numPr>
        <w:spacing w:after="160"/>
        <w:jc w:val="left"/>
        <w:rPr>
          <w:rFonts w:cs="Times New Roman"/>
          <w:b/>
          <w:bCs/>
        </w:rPr>
      </w:pPr>
      <w:r>
        <w:rPr>
          <w:rFonts w:cs="Times New Roman"/>
          <w:b/>
          <w:bCs/>
        </w:rPr>
        <w:t>Flagging Issues of Fundamental Misunderstandings of Tribunal Procedures</w:t>
      </w:r>
      <w:r w:rsidR="00E315E6" w:rsidRPr="000E48A3">
        <w:rPr>
          <w:rFonts w:cs="Times New Roman"/>
          <w:b/>
          <w:bCs/>
        </w:rPr>
        <w:t>:</w:t>
      </w:r>
    </w:p>
    <w:p w14:paraId="336A2832" w14:textId="173A827F" w:rsidR="000C6A7A" w:rsidRPr="004C74A0" w:rsidRDefault="00E315E6" w:rsidP="004C74A0">
      <w:pPr>
        <w:pStyle w:val="Taxbodytext1"/>
        <w:rPr>
          <w:rFonts w:cs="Times New Roman"/>
          <w:b/>
          <w:bCs/>
        </w:rPr>
      </w:pPr>
      <w:r>
        <w:rPr>
          <w:rFonts w:cs="Times New Roman"/>
        </w:rPr>
        <w:t>J</w:t>
      </w:r>
      <w:r w:rsidR="00537670">
        <w:rPr>
          <w:rFonts w:cs="Times New Roman"/>
        </w:rPr>
        <w:t>udge Brown confirmed that if</w:t>
      </w:r>
      <w:r w:rsidR="00943C24">
        <w:rPr>
          <w:rFonts w:cs="Times New Roman"/>
        </w:rPr>
        <w:t xml:space="preserve"> representatives identify an issue where they think there has been a fundamental misunderstanding of the Tribunal Procedures, then this</w:t>
      </w:r>
      <w:r w:rsidR="00574C3A">
        <w:rPr>
          <w:rFonts w:cs="Times New Roman"/>
        </w:rPr>
        <w:t xml:space="preserve"> should be directed to the relevant Chamber President</w:t>
      </w:r>
      <w:r w:rsidR="00E90BE5">
        <w:rPr>
          <w:rFonts w:cs="Times New Roman"/>
        </w:rPr>
        <w:t xml:space="preserve"> through their Private Office</w:t>
      </w:r>
      <w:r w:rsidR="00574C3A">
        <w:rPr>
          <w:rFonts w:cs="Times New Roman"/>
        </w:rPr>
        <w:t>. For the First-tier Tribunal</w:t>
      </w:r>
      <w:r w:rsidR="00E90BE5">
        <w:rPr>
          <w:rFonts w:cs="Times New Roman"/>
        </w:rPr>
        <w:t xml:space="preserve"> the contact is </w:t>
      </w:r>
      <w:hyperlink r:id="rId16" w:history="1">
        <w:r w:rsidR="00E90BE5" w:rsidRPr="00A37FBC">
          <w:rPr>
            <w:rStyle w:val="Hyperlink"/>
            <w:rFonts w:cs="Times New Roman"/>
          </w:rPr>
          <w:t>presidentsofficestax@justice.gov.uk</w:t>
        </w:r>
      </w:hyperlink>
      <w:r w:rsidR="00E90BE5">
        <w:rPr>
          <w:rFonts w:cs="Times New Roman"/>
        </w:rPr>
        <w:t>, for the Upper</w:t>
      </w:r>
      <w:r w:rsidR="00387E4F">
        <w:rPr>
          <w:rFonts w:cs="Times New Roman"/>
        </w:rPr>
        <w:t xml:space="preserve"> Tribunal</w:t>
      </w:r>
      <w:r w:rsidR="00E90BE5">
        <w:rPr>
          <w:rFonts w:cs="Times New Roman"/>
        </w:rPr>
        <w:t xml:space="preserve"> it is </w:t>
      </w:r>
      <w:hyperlink r:id="rId17" w:history="1">
        <w:r w:rsidR="008D0BE1" w:rsidRPr="00A37FBC">
          <w:rPr>
            <w:rStyle w:val="Hyperlink"/>
            <w:rFonts w:cs="Times New Roman"/>
          </w:rPr>
          <w:t>UTTCCpresidentsoffice@judiciary.uk</w:t>
        </w:r>
      </w:hyperlink>
      <w:r w:rsidR="008D0BE1">
        <w:rPr>
          <w:rFonts w:cs="Times New Roman"/>
        </w:rPr>
        <w:t xml:space="preserve">.  </w:t>
      </w:r>
    </w:p>
    <w:p w14:paraId="7858C5B0" w14:textId="1D70D58D" w:rsidR="00127581" w:rsidRPr="000E48A3" w:rsidRDefault="00103BE7" w:rsidP="00E23ADE">
      <w:pPr>
        <w:pStyle w:val="Heading4"/>
        <w:spacing w:before="0" w:after="160" w:line="240" w:lineRule="auto"/>
        <w:rPr>
          <w:rFonts w:ascii="Times New Roman" w:hAnsi="Times New Roman" w:cs="Times New Roman"/>
          <w:sz w:val="28"/>
          <w:szCs w:val="28"/>
        </w:rPr>
      </w:pPr>
      <w:r w:rsidRPr="000E48A3">
        <w:rPr>
          <w:rFonts w:ascii="Times New Roman" w:hAnsi="Times New Roman" w:cs="Times New Roman"/>
          <w:sz w:val="28"/>
          <w:szCs w:val="28"/>
        </w:rPr>
        <w:t>Questions and Any Other Business</w:t>
      </w:r>
    </w:p>
    <w:p w14:paraId="6C7C331A" w14:textId="7D594FBD" w:rsidR="00127581" w:rsidRPr="000E48A3" w:rsidRDefault="00103BE7" w:rsidP="00E23ADE">
      <w:pPr>
        <w:spacing w:line="240" w:lineRule="auto"/>
        <w:rPr>
          <w:rFonts w:ascii="Times New Roman" w:hAnsi="Times New Roman" w:cs="Times New Roman"/>
        </w:rPr>
      </w:pPr>
      <w:r w:rsidRPr="000E48A3">
        <w:rPr>
          <w:rFonts w:ascii="Times New Roman" w:hAnsi="Times New Roman" w:cs="Times New Roman"/>
        </w:rPr>
        <w:t>No further questions or comments were raised.</w:t>
      </w:r>
    </w:p>
    <w:sectPr w:rsidR="00127581" w:rsidRPr="000E48A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04335" w14:textId="77777777" w:rsidR="004046F2" w:rsidRPr="00A236F4" w:rsidRDefault="004046F2">
      <w:pPr>
        <w:spacing w:after="0" w:line="240" w:lineRule="auto"/>
      </w:pPr>
      <w:r w:rsidRPr="00A236F4">
        <w:separator/>
      </w:r>
    </w:p>
  </w:endnote>
  <w:endnote w:type="continuationSeparator" w:id="0">
    <w:p w14:paraId="27BC069B" w14:textId="77777777" w:rsidR="004046F2" w:rsidRPr="00A236F4" w:rsidRDefault="004046F2">
      <w:pPr>
        <w:spacing w:after="0" w:line="240" w:lineRule="auto"/>
      </w:pPr>
      <w:r w:rsidRPr="00A236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ADFB" w14:textId="77777777" w:rsidR="004046F2" w:rsidRPr="00A236F4" w:rsidRDefault="004046F2">
      <w:pPr>
        <w:spacing w:after="0" w:line="240" w:lineRule="auto"/>
      </w:pPr>
      <w:r w:rsidRPr="00A236F4">
        <w:separator/>
      </w:r>
    </w:p>
  </w:footnote>
  <w:footnote w:type="continuationSeparator" w:id="0">
    <w:p w14:paraId="6E0FC5E5" w14:textId="77777777" w:rsidR="004046F2" w:rsidRPr="00A236F4" w:rsidRDefault="004046F2">
      <w:pPr>
        <w:spacing w:after="0" w:line="240" w:lineRule="auto"/>
      </w:pPr>
      <w:r w:rsidRPr="00A236F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862BA"/>
    <w:multiLevelType w:val="multilevel"/>
    <w:tmpl w:val="0B263350"/>
    <w:lvl w:ilvl="0">
      <w:start w:val="1"/>
      <w:numFmt w:val="decimal"/>
      <w:pStyle w:val="Taxbodytext1"/>
      <w:lvlText w:val="%1."/>
      <w:lvlJc w:val="left"/>
      <w:pPr>
        <w:ind w:left="0" w:firstLine="0"/>
      </w:pPr>
      <w:rPr>
        <w:rFonts w:hint="default"/>
        <w:b w:val="0"/>
        <w:bCs w:val="0"/>
      </w:rPr>
    </w:lvl>
    <w:lvl w:ilvl="1">
      <w:start w:val="1"/>
      <w:numFmt w:val="decimal"/>
      <w:pStyle w:val="Taxbodytext2"/>
      <w:lvlText w:val="(%2)"/>
      <w:lvlJc w:val="left"/>
      <w:pPr>
        <w:ind w:left="4395" w:firstLine="0"/>
      </w:pPr>
      <w:rPr>
        <w:rFonts w:hint="default"/>
      </w:rPr>
    </w:lvl>
    <w:lvl w:ilvl="2">
      <w:start w:val="1"/>
      <w:numFmt w:val="lowerLetter"/>
      <w:pStyle w:val="Taxbodytext3"/>
      <w:lvlText w:val="(%3)"/>
      <w:lvlJc w:val="left"/>
      <w:pPr>
        <w:ind w:left="1440" w:firstLine="0"/>
      </w:pPr>
      <w:rPr>
        <w:rFonts w:hint="default"/>
      </w:rPr>
    </w:lvl>
    <w:lvl w:ilvl="3">
      <w:start w:val="1"/>
      <w:numFmt w:val="lowerRoman"/>
      <w:pStyle w:val="Taxbodytext4"/>
      <w:lvlText w:val="(%4)"/>
      <w:lvlJc w:val="left"/>
      <w:pPr>
        <w:ind w:left="2160" w:firstLine="0"/>
      </w:pPr>
      <w:rPr>
        <w:rFonts w:hint="default"/>
      </w:rPr>
    </w:lvl>
    <w:lvl w:ilvl="4">
      <w:start w:val="1"/>
      <w:numFmt w:val="upperLetter"/>
      <w:pStyle w:val="Taxbodytext5"/>
      <w:lvlText w:val="(%5)"/>
      <w:lvlJc w:val="left"/>
      <w:pPr>
        <w:ind w:left="2880" w:firstLine="0"/>
      </w:pPr>
      <w:rPr>
        <w:rFonts w:hint="default"/>
      </w:rPr>
    </w:lvl>
    <w:lvl w:ilvl="5">
      <w:start w:val="1"/>
      <w:numFmt w:val="upperRoman"/>
      <w:lvlText w:val="(%6)"/>
      <w:lvlJc w:val="left"/>
      <w:pPr>
        <w:ind w:left="3600" w:firstLine="0"/>
      </w:pPr>
      <w:rPr>
        <w:rFonts w:hint="default"/>
      </w:rPr>
    </w:lvl>
    <w:lvl w:ilvl="6">
      <w:start w:val="1"/>
      <w:numFmt w:val="none"/>
      <w:lvlText w:val=""/>
      <w:lvlJc w:val="left"/>
      <w:pPr>
        <w:ind w:left="4320" w:firstLine="0"/>
      </w:pPr>
      <w:rPr>
        <w:rFonts w:hint="default"/>
      </w:rPr>
    </w:lvl>
    <w:lvl w:ilvl="7">
      <w:start w:val="1"/>
      <w:numFmt w:val="none"/>
      <w:lvlText w:val=""/>
      <w:lvlJc w:val="left"/>
      <w:pPr>
        <w:ind w:left="5040" w:firstLine="0"/>
      </w:pPr>
      <w:rPr>
        <w:rFonts w:hint="default"/>
      </w:rPr>
    </w:lvl>
    <w:lvl w:ilvl="8">
      <w:start w:val="1"/>
      <w:numFmt w:val="none"/>
      <w:lvlText w:val=""/>
      <w:lvlJc w:val="right"/>
      <w:pPr>
        <w:ind w:left="5760" w:firstLine="0"/>
      </w:pPr>
      <w:rPr>
        <w:rFonts w:hint="default"/>
      </w:rPr>
    </w:lvl>
  </w:abstractNum>
  <w:abstractNum w:abstractNumId="1" w15:restartNumberingAfterBreak="0">
    <w:nsid w:val="7B914170"/>
    <w:multiLevelType w:val="hybridMultilevel"/>
    <w:tmpl w:val="2C4CDAC8"/>
    <w:lvl w:ilvl="0" w:tplc="CA86ECC0">
      <w:start w:val="1"/>
      <w:numFmt w:val="bullet"/>
      <w:lvlText w:val="●"/>
      <w:lvlJc w:val="left"/>
      <w:pPr>
        <w:ind w:left="720" w:hanging="360"/>
      </w:pPr>
    </w:lvl>
    <w:lvl w:ilvl="1" w:tplc="4992CCDC">
      <w:start w:val="1"/>
      <w:numFmt w:val="bullet"/>
      <w:lvlText w:val="○"/>
      <w:lvlJc w:val="left"/>
      <w:pPr>
        <w:ind w:left="1440" w:hanging="360"/>
      </w:pPr>
    </w:lvl>
    <w:lvl w:ilvl="2" w:tplc="C6DA1BDA">
      <w:start w:val="1"/>
      <w:numFmt w:val="bullet"/>
      <w:lvlText w:val="■"/>
      <w:lvlJc w:val="left"/>
      <w:pPr>
        <w:ind w:left="2160" w:hanging="360"/>
      </w:pPr>
    </w:lvl>
    <w:lvl w:ilvl="3" w:tplc="01CEBEBC">
      <w:start w:val="1"/>
      <w:numFmt w:val="bullet"/>
      <w:lvlText w:val="●"/>
      <w:lvlJc w:val="left"/>
      <w:pPr>
        <w:ind w:left="2880" w:hanging="360"/>
      </w:pPr>
    </w:lvl>
    <w:lvl w:ilvl="4" w:tplc="D7B61008">
      <w:start w:val="1"/>
      <w:numFmt w:val="bullet"/>
      <w:lvlText w:val="○"/>
      <w:lvlJc w:val="left"/>
      <w:pPr>
        <w:ind w:left="3600" w:hanging="360"/>
      </w:pPr>
    </w:lvl>
    <w:lvl w:ilvl="5" w:tplc="65C8017C">
      <w:start w:val="1"/>
      <w:numFmt w:val="bullet"/>
      <w:lvlText w:val="■"/>
      <w:lvlJc w:val="left"/>
      <w:pPr>
        <w:ind w:left="4320" w:hanging="360"/>
      </w:pPr>
    </w:lvl>
    <w:lvl w:ilvl="6" w:tplc="5BEE122E">
      <w:start w:val="1"/>
      <w:numFmt w:val="bullet"/>
      <w:lvlText w:val="●"/>
      <w:lvlJc w:val="left"/>
      <w:pPr>
        <w:ind w:left="5040" w:hanging="360"/>
      </w:pPr>
    </w:lvl>
    <w:lvl w:ilvl="7" w:tplc="B32AEDFA">
      <w:start w:val="1"/>
      <w:numFmt w:val="bullet"/>
      <w:lvlText w:val="●"/>
      <w:lvlJc w:val="left"/>
      <w:pPr>
        <w:ind w:left="5760" w:hanging="360"/>
      </w:pPr>
    </w:lvl>
    <w:lvl w:ilvl="8" w:tplc="119023B8">
      <w:start w:val="1"/>
      <w:numFmt w:val="bullet"/>
      <w:lvlText w:val="●"/>
      <w:lvlJc w:val="left"/>
      <w:pPr>
        <w:ind w:left="6480" w:hanging="360"/>
      </w:pPr>
    </w:lvl>
  </w:abstractNum>
  <w:num w:numId="1" w16cid:durableId="2138134856">
    <w:abstractNumId w:val="1"/>
    <w:lvlOverride w:ilvl="0">
      <w:startOverride w:val="1"/>
    </w:lvlOverride>
  </w:num>
  <w:num w:numId="2" w16cid:durableId="6056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81"/>
    <w:rsid w:val="00014F04"/>
    <w:rsid w:val="00016CFF"/>
    <w:rsid w:val="0002099B"/>
    <w:rsid w:val="00021A86"/>
    <w:rsid w:val="0005598A"/>
    <w:rsid w:val="00055A78"/>
    <w:rsid w:val="00080476"/>
    <w:rsid w:val="000819AF"/>
    <w:rsid w:val="000968C9"/>
    <w:rsid w:val="000A2BC6"/>
    <w:rsid w:val="000C6A7A"/>
    <w:rsid w:val="000D0E55"/>
    <w:rsid w:val="000D7DEE"/>
    <w:rsid w:val="000E24E7"/>
    <w:rsid w:val="000E48A3"/>
    <w:rsid w:val="000E49A8"/>
    <w:rsid w:val="000F7C23"/>
    <w:rsid w:val="00100A9B"/>
    <w:rsid w:val="00103BE7"/>
    <w:rsid w:val="00115B44"/>
    <w:rsid w:val="001162C1"/>
    <w:rsid w:val="00125166"/>
    <w:rsid w:val="00127581"/>
    <w:rsid w:val="00137B61"/>
    <w:rsid w:val="00140CB9"/>
    <w:rsid w:val="001436F6"/>
    <w:rsid w:val="00147843"/>
    <w:rsid w:val="0016597C"/>
    <w:rsid w:val="00193DC2"/>
    <w:rsid w:val="001A0AA0"/>
    <w:rsid w:val="001A61FD"/>
    <w:rsid w:val="001A75A9"/>
    <w:rsid w:val="001B26EB"/>
    <w:rsid w:val="001B5889"/>
    <w:rsid w:val="001C03F1"/>
    <w:rsid w:val="001C258B"/>
    <w:rsid w:val="001D0454"/>
    <w:rsid w:val="001D45E8"/>
    <w:rsid w:val="001D6F3C"/>
    <w:rsid w:val="001E55B8"/>
    <w:rsid w:val="001E6A92"/>
    <w:rsid w:val="001F2D5D"/>
    <w:rsid w:val="001F67C0"/>
    <w:rsid w:val="00222EBF"/>
    <w:rsid w:val="00232033"/>
    <w:rsid w:val="00232BCE"/>
    <w:rsid w:val="00263126"/>
    <w:rsid w:val="00267386"/>
    <w:rsid w:val="00275291"/>
    <w:rsid w:val="00286A10"/>
    <w:rsid w:val="002940B5"/>
    <w:rsid w:val="0029497D"/>
    <w:rsid w:val="002A2BB5"/>
    <w:rsid w:val="002A4C40"/>
    <w:rsid w:val="002A5320"/>
    <w:rsid w:val="002A6344"/>
    <w:rsid w:val="002B0C60"/>
    <w:rsid w:val="002B4689"/>
    <w:rsid w:val="002C1BF8"/>
    <w:rsid w:val="002C1FC0"/>
    <w:rsid w:val="002E0929"/>
    <w:rsid w:val="002E228B"/>
    <w:rsid w:val="002E7C79"/>
    <w:rsid w:val="002F284F"/>
    <w:rsid w:val="002F555E"/>
    <w:rsid w:val="0030779F"/>
    <w:rsid w:val="003125D6"/>
    <w:rsid w:val="00313523"/>
    <w:rsid w:val="003279EE"/>
    <w:rsid w:val="00330F75"/>
    <w:rsid w:val="00331DB0"/>
    <w:rsid w:val="00337215"/>
    <w:rsid w:val="00345790"/>
    <w:rsid w:val="003539C5"/>
    <w:rsid w:val="0037408F"/>
    <w:rsid w:val="00384618"/>
    <w:rsid w:val="00387E4F"/>
    <w:rsid w:val="00392D9F"/>
    <w:rsid w:val="003A715D"/>
    <w:rsid w:val="003B42F1"/>
    <w:rsid w:val="003B593B"/>
    <w:rsid w:val="003B7CFF"/>
    <w:rsid w:val="003C46F6"/>
    <w:rsid w:val="003D2759"/>
    <w:rsid w:val="003E362F"/>
    <w:rsid w:val="004046F2"/>
    <w:rsid w:val="00405EE4"/>
    <w:rsid w:val="00421EF2"/>
    <w:rsid w:val="004223D9"/>
    <w:rsid w:val="0042372F"/>
    <w:rsid w:val="0042522C"/>
    <w:rsid w:val="0043068A"/>
    <w:rsid w:val="004371FC"/>
    <w:rsid w:val="00442BBF"/>
    <w:rsid w:val="00443AD3"/>
    <w:rsid w:val="00450806"/>
    <w:rsid w:val="004555A1"/>
    <w:rsid w:val="004648A7"/>
    <w:rsid w:val="004A1E73"/>
    <w:rsid w:val="004A40D0"/>
    <w:rsid w:val="004A4180"/>
    <w:rsid w:val="004A6AB2"/>
    <w:rsid w:val="004B01A2"/>
    <w:rsid w:val="004B6634"/>
    <w:rsid w:val="004C74A0"/>
    <w:rsid w:val="004E0535"/>
    <w:rsid w:val="004F4CFB"/>
    <w:rsid w:val="004F6A9B"/>
    <w:rsid w:val="00500C69"/>
    <w:rsid w:val="005066B1"/>
    <w:rsid w:val="00515F28"/>
    <w:rsid w:val="00537670"/>
    <w:rsid w:val="00543148"/>
    <w:rsid w:val="00574C3A"/>
    <w:rsid w:val="00590292"/>
    <w:rsid w:val="005B4ADA"/>
    <w:rsid w:val="005C692B"/>
    <w:rsid w:val="005D48FF"/>
    <w:rsid w:val="005D5CAF"/>
    <w:rsid w:val="005D6CFF"/>
    <w:rsid w:val="005F267B"/>
    <w:rsid w:val="005F6688"/>
    <w:rsid w:val="00602AE0"/>
    <w:rsid w:val="00610F56"/>
    <w:rsid w:val="00611448"/>
    <w:rsid w:val="00662101"/>
    <w:rsid w:val="00665A12"/>
    <w:rsid w:val="00675B7A"/>
    <w:rsid w:val="006A3C4B"/>
    <w:rsid w:val="006A6E8B"/>
    <w:rsid w:val="006B2748"/>
    <w:rsid w:val="006B56D6"/>
    <w:rsid w:val="006D2768"/>
    <w:rsid w:val="0071481D"/>
    <w:rsid w:val="00717E3B"/>
    <w:rsid w:val="00723D6B"/>
    <w:rsid w:val="007522E2"/>
    <w:rsid w:val="00781E96"/>
    <w:rsid w:val="00790FC7"/>
    <w:rsid w:val="00791426"/>
    <w:rsid w:val="0079652E"/>
    <w:rsid w:val="00796A11"/>
    <w:rsid w:val="007A6A78"/>
    <w:rsid w:val="007A6E21"/>
    <w:rsid w:val="007B379B"/>
    <w:rsid w:val="007B3D17"/>
    <w:rsid w:val="007C1978"/>
    <w:rsid w:val="007D1B63"/>
    <w:rsid w:val="007D3615"/>
    <w:rsid w:val="007E4428"/>
    <w:rsid w:val="007F383F"/>
    <w:rsid w:val="00811AFF"/>
    <w:rsid w:val="00812253"/>
    <w:rsid w:val="00812FCB"/>
    <w:rsid w:val="00820B52"/>
    <w:rsid w:val="00824017"/>
    <w:rsid w:val="00833ED1"/>
    <w:rsid w:val="0084263D"/>
    <w:rsid w:val="008429B0"/>
    <w:rsid w:val="008430EB"/>
    <w:rsid w:val="00843197"/>
    <w:rsid w:val="00846920"/>
    <w:rsid w:val="00850B15"/>
    <w:rsid w:val="008520CC"/>
    <w:rsid w:val="00856156"/>
    <w:rsid w:val="0086474C"/>
    <w:rsid w:val="0086781F"/>
    <w:rsid w:val="00871920"/>
    <w:rsid w:val="00883254"/>
    <w:rsid w:val="008834B1"/>
    <w:rsid w:val="00891ACC"/>
    <w:rsid w:val="008A509F"/>
    <w:rsid w:val="008D0BE1"/>
    <w:rsid w:val="008D1F61"/>
    <w:rsid w:val="008E2B2A"/>
    <w:rsid w:val="00903995"/>
    <w:rsid w:val="00907F99"/>
    <w:rsid w:val="009118D1"/>
    <w:rsid w:val="00921914"/>
    <w:rsid w:val="00926F3F"/>
    <w:rsid w:val="00934C30"/>
    <w:rsid w:val="00942485"/>
    <w:rsid w:val="00943C24"/>
    <w:rsid w:val="009453E1"/>
    <w:rsid w:val="00965F9F"/>
    <w:rsid w:val="00974ABE"/>
    <w:rsid w:val="00986286"/>
    <w:rsid w:val="00990502"/>
    <w:rsid w:val="009A68FF"/>
    <w:rsid w:val="009D23FE"/>
    <w:rsid w:val="009D4DDD"/>
    <w:rsid w:val="009D7901"/>
    <w:rsid w:val="009E3EF7"/>
    <w:rsid w:val="009F2291"/>
    <w:rsid w:val="00A00CD0"/>
    <w:rsid w:val="00A019FC"/>
    <w:rsid w:val="00A05CC3"/>
    <w:rsid w:val="00A100A6"/>
    <w:rsid w:val="00A124FA"/>
    <w:rsid w:val="00A236F4"/>
    <w:rsid w:val="00A374A7"/>
    <w:rsid w:val="00A52FF1"/>
    <w:rsid w:val="00A61CDD"/>
    <w:rsid w:val="00A85A7D"/>
    <w:rsid w:val="00A91892"/>
    <w:rsid w:val="00A95B37"/>
    <w:rsid w:val="00AA5CE0"/>
    <w:rsid w:val="00AB2CCB"/>
    <w:rsid w:val="00AD2339"/>
    <w:rsid w:val="00B05C5E"/>
    <w:rsid w:val="00B0681A"/>
    <w:rsid w:val="00B110FC"/>
    <w:rsid w:val="00B16633"/>
    <w:rsid w:val="00B3022F"/>
    <w:rsid w:val="00B327C4"/>
    <w:rsid w:val="00B41FC2"/>
    <w:rsid w:val="00B432FD"/>
    <w:rsid w:val="00B455D1"/>
    <w:rsid w:val="00B4793D"/>
    <w:rsid w:val="00B62582"/>
    <w:rsid w:val="00B67D3E"/>
    <w:rsid w:val="00B8174E"/>
    <w:rsid w:val="00B85D8B"/>
    <w:rsid w:val="00B915E5"/>
    <w:rsid w:val="00B977EA"/>
    <w:rsid w:val="00BA0743"/>
    <w:rsid w:val="00BA3B51"/>
    <w:rsid w:val="00BA47A9"/>
    <w:rsid w:val="00BA75CA"/>
    <w:rsid w:val="00BB3A47"/>
    <w:rsid w:val="00BE1C84"/>
    <w:rsid w:val="00BE35C3"/>
    <w:rsid w:val="00BF0937"/>
    <w:rsid w:val="00C001EA"/>
    <w:rsid w:val="00C02C05"/>
    <w:rsid w:val="00C31BE7"/>
    <w:rsid w:val="00C4478D"/>
    <w:rsid w:val="00C5683F"/>
    <w:rsid w:val="00C87767"/>
    <w:rsid w:val="00CA4167"/>
    <w:rsid w:val="00CB0B4E"/>
    <w:rsid w:val="00CD0B72"/>
    <w:rsid w:val="00CE47FA"/>
    <w:rsid w:val="00CF3273"/>
    <w:rsid w:val="00CF3903"/>
    <w:rsid w:val="00D06769"/>
    <w:rsid w:val="00D1461C"/>
    <w:rsid w:val="00D15644"/>
    <w:rsid w:val="00D2722A"/>
    <w:rsid w:val="00D307AD"/>
    <w:rsid w:val="00D525C6"/>
    <w:rsid w:val="00D55685"/>
    <w:rsid w:val="00D55A5B"/>
    <w:rsid w:val="00D60B0A"/>
    <w:rsid w:val="00D655DB"/>
    <w:rsid w:val="00D74EF7"/>
    <w:rsid w:val="00D75102"/>
    <w:rsid w:val="00D84B1C"/>
    <w:rsid w:val="00D85E02"/>
    <w:rsid w:val="00DA1306"/>
    <w:rsid w:val="00DB0BA1"/>
    <w:rsid w:val="00DB5A3C"/>
    <w:rsid w:val="00DC360B"/>
    <w:rsid w:val="00DD1066"/>
    <w:rsid w:val="00DF4E69"/>
    <w:rsid w:val="00DF5CE4"/>
    <w:rsid w:val="00DF6D89"/>
    <w:rsid w:val="00E10C3C"/>
    <w:rsid w:val="00E164E0"/>
    <w:rsid w:val="00E16A6E"/>
    <w:rsid w:val="00E23ADE"/>
    <w:rsid w:val="00E271CC"/>
    <w:rsid w:val="00E315E6"/>
    <w:rsid w:val="00E33ECC"/>
    <w:rsid w:val="00E416C2"/>
    <w:rsid w:val="00E45D09"/>
    <w:rsid w:val="00E56868"/>
    <w:rsid w:val="00E90BE5"/>
    <w:rsid w:val="00E920EF"/>
    <w:rsid w:val="00E94EE0"/>
    <w:rsid w:val="00E96BE3"/>
    <w:rsid w:val="00EA5330"/>
    <w:rsid w:val="00EA5D64"/>
    <w:rsid w:val="00EC2DCE"/>
    <w:rsid w:val="00EC3052"/>
    <w:rsid w:val="00EC5700"/>
    <w:rsid w:val="00EC7047"/>
    <w:rsid w:val="00EF197C"/>
    <w:rsid w:val="00EF7110"/>
    <w:rsid w:val="00EF7B69"/>
    <w:rsid w:val="00F03BC9"/>
    <w:rsid w:val="00F12AB1"/>
    <w:rsid w:val="00F14959"/>
    <w:rsid w:val="00F162BB"/>
    <w:rsid w:val="00F17B6A"/>
    <w:rsid w:val="00F245BF"/>
    <w:rsid w:val="00F2574B"/>
    <w:rsid w:val="00F259EE"/>
    <w:rsid w:val="00F52E40"/>
    <w:rsid w:val="00F571C4"/>
    <w:rsid w:val="00F62F42"/>
    <w:rsid w:val="00F720EF"/>
    <w:rsid w:val="00F8238E"/>
    <w:rsid w:val="00F90891"/>
    <w:rsid w:val="00F929F2"/>
    <w:rsid w:val="00F95BF9"/>
    <w:rsid w:val="00FA3D92"/>
    <w:rsid w:val="00FB3C04"/>
    <w:rsid w:val="00FB40A9"/>
    <w:rsid w:val="00FD1AB7"/>
    <w:rsid w:val="00FE0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1235"/>
  <w15:docId w15:val="{4BC61A97-7B58-4A16-97D9-D6E56629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character" w:styleId="UnresolvedMention">
    <w:name w:val="Unresolved Mention"/>
    <w:basedOn w:val="DefaultParagraphFont"/>
    <w:uiPriority w:val="99"/>
    <w:semiHidden/>
    <w:unhideWhenUsed/>
    <w:rsid w:val="000E24E7"/>
    <w:rPr>
      <w:color w:val="605E5C"/>
      <w:shd w:val="clear" w:color="auto" w:fill="E1DFDD"/>
    </w:rPr>
  </w:style>
  <w:style w:type="paragraph" w:styleId="Revision">
    <w:name w:val="Revision"/>
    <w:hidden/>
    <w:uiPriority w:val="99"/>
    <w:semiHidden/>
    <w:rsid w:val="00A374A7"/>
    <w:pPr>
      <w:spacing w:after="0" w:line="240" w:lineRule="auto"/>
    </w:pPr>
  </w:style>
  <w:style w:type="paragraph" w:customStyle="1" w:styleId="Taxbodytext1">
    <w:name w:val="Tax body text 1"/>
    <w:link w:val="Taxbodytext1Char"/>
    <w:qFormat/>
    <w:rsid w:val="003125D6"/>
    <w:pPr>
      <w:numPr>
        <w:numId w:val="2"/>
      </w:numPr>
      <w:tabs>
        <w:tab w:val="left" w:pos="567"/>
      </w:tabs>
      <w:spacing w:after="120" w:line="240" w:lineRule="auto"/>
      <w:jc w:val="both"/>
    </w:pPr>
    <w:rPr>
      <w:rFonts w:ascii="Times New Roman" w:eastAsiaTheme="minorHAnsi" w:hAnsi="Times New Roman"/>
      <w:szCs w:val="22"/>
      <w:lang w:val="en-GB" w:eastAsia="en-US"/>
    </w:rPr>
  </w:style>
  <w:style w:type="character" w:customStyle="1" w:styleId="Taxbodytext1Char">
    <w:name w:val="Tax body text 1 Char"/>
    <w:basedOn w:val="DefaultParagraphFont"/>
    <w:link w:val="Taxbodytext1"/>
    <w:rsid w:val="003125D6"/>
    <w:rPr>
      <w:rFonts w:ascii="Times New Roman" w:eastAsiaTheme="minorHAnsi" w:hAnsi="Times New Roman"/>
      <w:szCs w:val="22"/>
      <w:lang w:val="en-GB" w:eastAsia="en-US"/>
    </w:rPr>
  </w:style>
  <w:style w:type="paragraph" w:customStyle="1" w:styleId="Taxbodytext2">
    <w:name w:val="Tax body text 2"/>
    <w:basedOn w:val="Taxbodytext1"/>
    <w:link w:val="Taxbodytext2Char"/>
    <w:qFormat/>
    <w:rsid w:val="003125D6"/>
    <w:pPr>
      <w:numPr>
        <w:ilvl w:val="1"/>
      </w:numPr>
      <w:tabs>
        <w:tab w:val="clear" w:pos="567"/>
        <w:tab w:val="num" w:pos="360"/>
        <w:tab w:val="left" w:pos="1134"/>
        <w:tab w:val="num" w:pos="1440"/>
      </w:tabs>
      <w:ind w:left="720" w:hanging="360"/>
    </w:pPr>
  </w:style>
  <w:style w:type="paragraph" w:customStyle="1" w:styleId="Taxbodytext3">
    <w:name w:val="Tax body text 3"/>
    <w:basedOn w:val="Taxbodytext2"/>
    <w:qFormat/>
    <w:rsid w:val="003125D6"/>
    <w:pPr>
      <w:numPr>
        <w:ilvl w:val="2"/>
      </w:numPr>
      <w:tabs>
        <w:tab w:val="clear" w:pos="1134"/>
        <w:tab w:val="num" w:pos="360"/>
        <w:tab w:val="num" w:pos="1440"/>
        <w:tab w:val="left" w:pos="1701"/>
        <w:tab w:val="num" w:pos="2160"/>
      </w:tabs>
      <w:ind w:left="2160" w:hanging="360"/>
    </w:pPr>
  </w:style>
  <w:style w:type="paragraph" w:customStyle="1" w:styleId="Taxbodytext4">
    <w:name w:val="Tax body text 4"/>
    <w:basedOn w:val="Taxbodytext3"/>
    <w:qFormat/>
    <w:rsid w:val="003125D6"/>
    <w:pPr>
      <w:numPr>
        <w:ilvl w:val="3"/>
      </w:numPr>
      <w:tabs>
        <w:tab w:val="clear" w:pos="1701"/>
        <w:tab w:val="num" w:pos="360"/>
        <w:tab w:val="num" w:pos="1440"/>
        <w:tab w:val="left" w:pos="2268"/>
        <w:tab w:val="num" w:pos="2880"/>
      </w:tabs>
      <w:ind w:left="2880" w:hanging="360"/>
    </w:pPr>
  </w:style>
  <w:style w:type="paragraph" w:customStyle="1" w:styleId="Taxbodytext5">
    <w:name w:val="Tax body text 5"/>
    <w:basedOn w:val="Taxbodytext4"/>
    <w:qFormat/>
    <w:rsid w:val="003125D6"/>
    <w:pPr>
      <w:numPr>
        <w:ilvl w:val="4"/>
      </w:numPr>
      <w:tabs>
        <w:tab w:val="clear" w:pos="2268"/>
        <w:tab w:val="num" w:pos="360"/>
        <w:tab w:val="num" w:pos="1440"/>
        <w:tab w:val="left" w:pos="2835"/>
        <w:tab w:val="num" w:pos="3600"/>
      </w:tabs>
      <w:ind w:left="3600" w:hanging="360"/>
    </w:pPr>
  </w:style>
  <w:style w:type="character" w:customStyle="1" w:styleId="Taxbodytext2Char">
    <w:name w:val="Tax body text 2 Char"/>
    <w:basedOn w:val="Taxbodytext1Char"/>
    <w:link w:val="Taxbodytext2"/>
    <w:rsid w:val="00DD1066"/>
    <w:rPr>
      <w:rFonts w:ascii="Times New Roman" w:eastAsiaTheme="minorHAnsi" w:hAnsi="Times New Roman"/>
      <w:szCs w:val="22"/>
      <w:lang w:val="en-GB" w:eastAsia="en-US"/>
    </w:rPr>
  </w:style>
  <w:style w:type="character" w:styleId="CommentReference">
    <w:name w:val="annotation reference"/>
    <w:basedOn w:val="DefaultParagraphFont"/>
    <w:uiPriority w:val="99"/>
    <w:semiHidden/>
    <w:unhideWhenUsed/>
    <w:rsid w:val="004555A1"/>
    <w:rPr>
      <w:sz w:val="16"/>
      <w:szCs w:val="16"/>
    </w:rPr>
  </w:style>
  <w:style w:type="paragraph" w:styleId="CommentText">
    <w:name w:val="annotation text"/>
    <w:basedOn w:val="Normal"/>
    <w:link w:val="CommentTextChar"/>
    <w:uiPriority w:val="99"/>
    <w:unhideWhenUsed/>
    <w:rsid w:val="004555A1"/>
    <w:pPr>
      <w:spacing w:line="240" w:lineRule="auto"/>
    </w:pPr>
    <w:rPr>
      <w:sz w:val="20"/>
      <w:szCs w:val="20"/>
    </w:rPr>
  </w:style>
  <w:style w:type="character" w:customStyle="1" w:styleId="CommentTextChar">
    <w:name w:val="Comment Text Char"/>
    <w:basedOn w:val="DefaultParagraphFont"/>
    <w:link w:val="CommentText"/>
    <w:uiPriority w:val="99"/>
    <w:rsid w:val="004555A1"/>
    <w:rPr>
      <w:sz w:val="20"/>
      <w:szCs w:val="20"/>
      <w:lang w:val="en-GB"/>
    </w:rPr>
  </w:style>
  <w:style w:type="paragraph" w:styleId="CommentSubject">
    <w:name w:val="annotation subject"/>
    <w:basedOn w:val="CommentText"/>
    <w:next w:val="CommentText"/>
    <w:link w:val="CommentSubjectChar"/>
    <w:uiPriority w:val="99"/>
    <w:semiHidden/>
    <w:unhideWhenUsed/>
    <w:rsid w:val="004555A1"/>
    <w:rPr>
      <w:b/>
      <w:bCs/>
    </w:rPr>
  </w:style>
  <w:style w:type="character" w:customStyle="1" w:styleId="CommentSubjectChar">
    <w:name w:val="Comment Subject Char"/>
    <w:basedOn w:val="CommentTextChar"/>
    <w:link w:val="CommentSubject"/>
    <w:uiPriority w:val="99"/>
    <w:semiHidden/>
    <w:rsid w:val="004555A1"/>
    <w:rPr>
      <w:b/>
      <w:bCs/>
      <w:sz w:val="20"/>
      <w:szCs w:val="20"/>
      <w:lang w:val="en-GB"/>
    </w:rPr>
  </w:style>
  <w:style w:type="paragraph" w:styleId="Header">
    <w:name w:val="header"/>
    <w:basedOn w:val="Normal"/>
    <w:link w:val="HeaderChar"/>
    <w:uiPriority w:val="99"/>
    <w:unhideWhenUsed/>
    <w:rsid w:val="004B0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1A2"/>
    <w:rPr>
      <w:lang w:val="en-GB"/>
    </w:rPr>
  </w:style>
  <w:style w:type="paragraph" w:styleId="Footer">
    <w:name w:val="footer"/>
    <w:basedOn w:val="Normal"/>
    <w:link w:val="FooterChar"/>
    <w:uiPriority w:val="99"/>
    <w:unhideWhenUsed/>
    <w:rsid w:val="004B0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1A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TTCCpresidentsoffice@judiciary.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ttc@justice.gov.uk" TargetMode="External"/><Relationship Id="rId17" Type="http://schemas.openxmlformats.org/officeDocument/2006/relationships/hyperlink" Target="mailto:UTTCCpresidentsoffice@judiciary.uk" TargetMode="External"/><Relationship Id="rId2" Type="http://schemas.openxmlformats.org/officeDocument/2006/relationships/numbering" Target="numbering.xml"/><Relationship Id="rId16" Type="http://schemas.openxmlformats.org/officeDocument/2006/relationships/hyperlink" Target="mailto:presidentsofficestax@just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diciary.uk/wp-content/uploads/2025/06/Practice-Statement-F-tT-Tax-Chamber-Taking-Oral-Evidence-from-Abroad-Updated-June-2025.pdf" TargetMode="External"/><Relationship Id="rId5" Type="http://schemas.openxmlformats.org/officeDocument/2006/relationships/webSettings" Target="webSettings.xml"/><Relationship Id="rId15" Type="http://schemas.openxmlformats.org/officeDocument/2006/relationships/hyperlink" Target="https://www.judiciary.uk/wp-content/uploads/2026/03/Interim-Report-and-Consultation-Use-of-AI-for-Preparing-Court-Docume.pdf" TargetMode="External"/><Relationship Id="rId10" Type="http://schemas.openxmlformats.org/officeDocument/2006/relationships/hyperlink" Target="https://www.judiciary.uk/wp-content/uploads/2025/11/260122-Extension-of-Time-etc-Practice-statement-ADR-amended.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judiciary.uk/wp-content/uploads/2025/05/260122-FTT-Tax-Chamber-Practice-Statement-on-ADR-amended-for-EOT.pdf" TargetMode="External"/><Relationship Id="rId14" Type="http://schemas.openxmlformats.org/officeDocument/2006/relationships/hyperlink" Target="https://www.judiciary.uk/wp-content/uploads/2025/10/Artificial-Intelligence-AI-Guidance-for-Judicial-Office-Holders-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1F059-B6DD-4314-B814-8021592C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2181</Words>
  <Characters>12130</Characters>
  <Application>Microsoft Office Word</Application>
  <DocSecurity>0</DocSecurity>
  <Lines>195</Lines>
  <Paragraphs>67</Paragraphs>
  <ScaleCrop>false</ScaleCrop>
  <HeadingPairs>
    <vt:vector size="2" baseType="variant">
      <vt:variant>
        <vt:lpstr>Title</vt:lpstr>
      </vt:variant>
      <vt:variant>
        <vt:i4>1</vt:i4>
      </vt:variant>
    </vt:vector>
  </HeadingPairs>
  <TitlesOfParts>
    <vt:vector size="1" baseType="lpstr">
      <vt:lpstr>Document</vt:lpstr>
    </vt:vector>
  </TitlesOfParts>
  <Company>Ministry of Justice</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Smith, Chris (Judicial Office)</cp:lastModifiedBy>
  <cp:revision>4</cp:revision>
  <dcterms:created xsi:type="dcterms:W3CDTF">2026-06-03T15:52:00Z</dcterms:created>
  <dcterms:modified xsi:type="dcterms:W3CDTF">2026-07-10T14:12:00Z</dcterms:modified>
</cp:coreProperties>
</file>